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1C8" w:rsidRPr="005701C8" w:rsidRDefault="005701C8" w:rsidP="00034847">
      <w:pPr>
        <w:spacing w:after="0" w:line="240" w:lineRule="auto"/>
        <w:ind w:left="4820"/>
        <w:jc w:val="center"/>
        <w:rPr>
          <w:rFonts w:ascii="Times New Roman" w:hAnsi="Times New Roman" w:cs="Times New Roman"/>
          <w:sz w:val="28"/>
          <w:szCs w:val="28"/>
        </w:rPr>
      </w:pPr>
      <w:r w:rsidRPr="005701C8">
        <w:rPr>
          <w:rFonts w:ascii="Times New Roman" w:hAnsi="Times New Roman" w:cs="Times New Roman"/>
          <w:sz w:val="28"/>
          <w:szCs w:val="28"/>
        </w:rPr>
        <w:t>УТВЕРЖДЕН</w:t>
      </w:r>
    </w:p>
    <w:p w:rsidR="00FA38AD" w:rsidRDefault="005701C8" w:rsidP="00034847">
      <w:pPr>
        <w:spacing w:after="0" w:line="240" w:lineRule="auto"/>
        <w:ind w:left="4820"/>
        <w:jc w:val="center"/>
        <w:rPr>
          <w:rFonts w:ascii="Times New Roman" w:hAnsi="Times New Roman" w:cs="Times New Roman"/>
          <w:sz w:val="28"/>
          <w:szCs w:val="28"/>
        </w:rPr>
      </w:pPr>
      <w:r w:rsidRPr="005701C8">
        <w:rPr>
          <w:rFonts w:ascii="Times New Roman" w:hAnsi="Times New Roman" w:cs="Times New Roman"/>
          <w:sz w:val="28"/>
          <w:szCs w:val="28"/>
        </w:rPr>
        <w:t>постановлением</w:t>
      </w:r>
      <w:r w:rsidR="00034847">
        <w:rPr>
          <w:rFonts w:ascii="Times New Roman" w:hAnsi="Times New Roman" w:cs="Times New Roman"/>
          <w:sz w:val="28"/>
          <w:szCs w:val="28"/>
        </w:rPr>
        <w:br/>
      </w:r>
      <w:r w:rsidRPr="005701C8">
        <w:rPr>
          <w:rFonts w:ascii="Times New Roman" w:hAnsi="Times New Roman" w:cs="Times New Roman"/>
          <w:sz w:val="28"/>
          <w:szCs w:val="28"/>
        </w:rPr>
        <w:t>Территориальной</w:t>
      </w:r>
      <w:r w:rsidR="00930CC6">
        <w:rPr>
          <w:rFonts w:ascii="Times New Roman" w:hAnsi="Times New Roman" w:cs="Times New Roman"/>
          <w:sz w:val="28"/>
          <w:szCs w:val="28"/>
        </w:rPr>
        <w:t xml:space="preserve"> </w:t>
      </w:r>
      <w:r w:rsidRPr="005701C8">
        <w:rPr>
          <w:rFonts w:ascii="Times New Roman" w:hAnsi="Times New Roman" w:cs="Times New Roman"/>
          <w:sz w:val="28"/>
          <w:szCs w:val="28"/>
        </w:rPr>
        <w:t>избирательной</w:t>
      </w:r>
      <w:r w:rsidR="00930CC6">
        <w:rPr>
          <w:rFonts w:ascii="Times New Roman" w:hAnsi="Times New Roman" w:cs="Times New Roman"/>
          <w:sz w:val="28"/>
          <w:szCs w:val="28"/>
        </w:rPr>
        <w:t xml:space="preserve"> </w:t>
      </w:r>
      <w:r w:rsidRPr="005701C8">
        <w:rPr>
          <w:rFonts w:ascii="Times New Roman" w:hAnsi="Times New Roman" w:cs="Times New Roman"/>
          <w:sz w:val="28"/>
          <w:szCs w:val="28"/>
        </w:rPr>
        <w:t>комиссии</w:t>
      </w:r>
      <w:r w:rsidR="00034847">
        <w:rPr>
          <w:rFonts w:ascii="Times New Roman" w:hAnsi="Times New Roman" w:cs="Times New Roman"/>
          <w:sz w:val="28"/>
          <w:szCs w:val="28"/>
        </w:rPr>
        <w:t xml:space="preserve"> Орловского района Ростовской области</w:t>
      </w:r>
    </w:p>
    <w:p w:rsidR="00E12D59" w:rsidRDefault="005701C8" w:rsidP="00034847">
      <w:pPr>
        <w:spacing w:after="0" w:line="240" w:lineRule="auto"/>
        <w:ind w:left="4820"/>
        <w:jc w:val="center"/>
        <w:rPr>
          <w:rFonts w:ascii="Times New Roman" w:hAnsi="Times New Roman" w:cs="Times New Roman"/>
          <w:b/>
          <w:sz w:val="28"/>
          <w:szCs w:val="28"/>
        </w:rPr>
      </w:pPr>
      <w:r w:rsidRPr="005701C8">
        <w:rPr>
          <w:rFonts w:ascii="Times New Roman" w:hAnsi="Times New Roman" w:cs="Times New Roman"/>
          <w:sz w:val="28"/>
          <w:szCs w:val="28"/>
        </w:rPr>
        <w:t>от</w:t>
      </w:r>
      <w:r w:rsidR="00930CC6">
        <w:rPr>
          <w:rFonts w:ascii="Times New Roman" w:hAnsi="Times New Roman" w:cs="Times New Roman"/>
          <w:sz w:val="28"/>
          <w:szCs w:val="28"/>
        </w:rPr>
        <w:t xml:space="preserve"> </w:t>
      </w:r>
      <w:r w:rsidR="00517833">
        <w:rPr>
          <w:rFonts w:ascii="Times New Roman" w:hAnsi="Times New Roman" w:cs="Times New Roman"/>
          <w:sz w:val="28"/>
          <w:szCs w:val="28"/>
        </w:rPr>
        <w:t>30</w:t>
      </w:r>
      <w:r w:rsidR="00034847">
        <w:rPr>
          <w:rFonts w:ascii="Times New Roman" w:hAnsi="Times New Roman" w:cs="Times New Roman"/>
          <w:sz w:val="28"/>
          <w:szCs w:val="28"/>
        </w:rPr>
        <w:t>.06.202</w:t>
      </w:r>
      <w:r w:rsidR="00517833">
        <w:rPr>
          <w:rFonts w:ascii="Times New Roman" w:hAnsi="Times New Roman" w:cs="Times New Roman"/>
          <w:sz w:val="28"/>
          <w:szCs w:val="28"/>
        </w:rPr>
        <w:t>6</w:t>
      </w:r>
      <w:r w:rsidR="00930CC6">
        <w:rPr>
          <w:rFonts w:ascii="Times New Roman" w:hAnsi="Times New Roman" w:cs="Times New Roman"/>
          <w:sz w:val="28"/>
          <w:szCs w:val="28"/>
        </w:rPr>
        <w:t xml:space="preserve"> </w:t>
      </w:r>
      <w:r w:rsidRPr="005701C8">
        <w:rPr>
          <w:rFonts w:ascii="Times New Roman" w:hAnsi="Times New Roman" w:cs="Times New Roman"/>
          <w:sz w:val="28"/>
          <w:szCs w:val="28"/>
        </w:rPr>
        <w:t>№</w:t>
      </w:r>
      <w:r w:rsidR="00930CC6">
        <w:rPr>
          <w:rFonts w:ascii="Times New Roman" w:hAnsi="Times New Roman" w:cs="Times New Roman"/>
          <w:sz w:val="28"/>
          <w:szCs w:val="28"/>
        </w:rPr>
        <w:t xml:space="preserve"> 7-27</w:t>
      </w:r>
    </w:p>
    <w:p w:rsidR="000E74C0" w:rsidRPr="005701C8" w:rsidRDefault="000E74C0" w:rsidP="005701C8">
      <w:pPr>
        <w:spacing w:after="0" w:line="240" w:lineRule="auto"/>
        <w:jc w:val="center"/>
        <w:rPr>
          <w:rFonts w:ascii="Times New Roman" w:hAnsi="Times New Roman" w:cs="Times New Roman"/>
          <w:sz w:val="28"/>
          <w:szCs w:val="28"/>
        </w:rPr>
      </w:pPr>
    </w:p>
    <w:p w:rsidR="009A6F2B" w:rsidRDefault="009A6F2B" w:rsidP="009A6F2B">
      <w:pPr>
        <w:pStyle w:val="ae"/>
        <w:spacing w:before="0" w:beforeAutospacing="0" w:after="0" w:afterAutospacing="0"/>
        <w:jc w:val="center"/>
        <w:rPr>
          <w:b/>
          <w:bCs/>
          <w:sz w:val="28"/>
          <w:szCs w:val="28"/>
        </w:rPr>
      </w:pPr>
      <w:r>
        <w:rPr>
          <w:sz w:val="28"/>
          <w:szCs w:val="28"/>
        </w:rPr>
        <w:t>ПОРЯДОК</w:t>
      </w:r>
    </w:p>
    <w:p w:rsidR="009A6F2B" w:rsidRDefault="009A6F2B" w:rsidP="009A6F2B">
      <w:pPr>
        <w:pStyle w:val="ae"/>
        <w:spacing w:before="0" w:beforeAutospacing="0" w:after="0" w:afterAutospacing="0"/>
        <w:jc w:val="center"/>
        <w:rPr>
          <w:b/>
          <w:bCs/>
          <w:sz w:val="28"/>
          <w:szCs w:val="28"/>
        </w:rPr>
      </w:pPr>
      <w:r>
        <w:rPr>
          <w:sz w:val="28"/>
          <w:szCs w:val="28"/>
        </w:rPr>
        <w:t xml:space="preserve">приема, учета, анализа, обработки и хранения в Территориальной избирательной комиссии Орловского района Ростовской области экземпляров, копий, фотографий предвыборных агитационных материалов и представляемых одновременно с ними документов, материалов в период избирательной кампании по выборам депутатов Собраний депутатов сельских поселений Орловского района Ростовской области шестого созыва </w:t>
      </w:r>
    </w:p>
    <w:p w:rsidR="009A6F2B" w:rsidRDefault="009A6F2B" w:rsidP="009A6F2B">
      <w:pPr>
        <w:pStyle w:val="ae"/>
        <w:spacing w:before="240" w:beforeAutospacing="0" w:after="120" w:afterAutospacing="0"/>
        <w:jc w:val="center"/>
        <w:rPr>
          <w:b/>
          <w:bCs/>
          <w:sz w:val="28"/>
          <w:szCs w:val="28"/>
        </w:rPr>
      </w:pPr>
      <w:r>
        <w:rPr>
          <w:sz w:val="28"/>
          <w:szCs w:val="28"/>
        </w:rPr>
        <w:t>1. Общие положения</w:t>
      </w:r>
    </w:p>
    <w:p w:rsidR="009A6F2B" w:rsidRDefault="009A6F2B" w:rsidP="003A0636">
      <w:pPr>
        <w:pStyle w:val="ae"/>
        <w:spacing w:before="0" w:beforeAutospacing="0" w:after="0" w:afterAutospacing="0" w:line="276" w:lineRule="auto"/>
        <w:ind w:firstLine="708"/>
        <w:jc w:val="both"/>
        <w:rPr>
          <w:b/>
          <w:bCs/>
          <w:sz w:val="28"/>
          <w:szCs w:val="28"/>
        </w:rPr>
      </w:pPr>
      <w:r>
        <w:rPr>
          <w:sz w:val="28"/>
          <w:szCs w:val="28"/>
        </w:rPr>
        <w:t>1.1. Прием экземпляров, копий, фотографий предвыборных агитационных материалов и представляемых одновременно с ними документов, материалов в период избирательной кампании по выборам депутатов Собраний депутатов сельских поселений Орловского района Ростовской области шестого созыва организуют члены Рабочей группы Территориальной избирательной комиссии Орловского района Ростовской области по информационным спорам и иным вопросам информационного обеспечения выборов (далее – Рабочая группа) – члены Территориальной избирательной комиссии Орловского района Ростовской области (далее – ТИК) с правом решающего голоса (далее – член ТИК).</w:t>
      </w:r>
    </w:p>
    <w:p w:rsidR="009A6F2B" w:rsidRDefault="009A6F2B" w:rsidP="003A0636">
      <w:pPr>
        <w:pStyle w:val="ae"/>
        <w:spacing w:before="0" w:beforeAutospacing="0" w:after="0" w:afterAutospacing="0" w:line="276" w:lineRule="auto"/>
        <w:ind w:firstLine="708"/>
        <w:jc w:val="both"/>
        <w:rPr>
          <w:b/>
          <w:bCs/>
          <w:sz w:val="28"/>
          <w:szCs w:val="28"/>
        </w:rPr>
      </w:pPr>
      <w:r>
        <w:rPr>
          <w:sz w:val="28"/>
          <w:szCs w:val="28"/>
        </w:rPr>
        <w:t>1.2. Представление экземпляров, копий, фотографий предвыборных агитационных материалов и представляемых одновременно с ними документов, материалов осуществляется кандидатами, их доверенными лицами и уполномоченными представителями кандидатов по финансовым вопросам (далее – Уполномоченные лица).</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1.3. В зависимости от способа распространения предвыборного агитационного материала его экземпляр, копия, фотография представляется </w:t>
      </w:r>
      <w:r w:rsidR="003A0636">
        <w:rPr>
          <w:sz w:val="28"/>
          <w:szCs w:val="28"/>
        </w:rPr>
        <w:br/>
      </w:r>
      <w:r>
        <w:rPr>
          <w:sz w:val="28"/>
          <w:szCs w:val="28"/>
        </w:rPr>
        <w:t>в ТИК в следующем порядке:</w:t>
      </w:r>
    </w:p>
    <w:p w:rsidR="009A6F2B" w:rsidRDefault="009A6F2B" w:rsidP="003A0636">
      <w:pPr>
        <w:pStyle w:val="ae"/>
        <w:spacing w:before="0" w:beforeAutospacing="0" w:after="0" w:afterAutospacing="0" w:line="276" w:lineRule="auto"/>
        <w:ind w:firstLine="708"/>
        <w:jc w:val="both"/>
        <w:rPr>
          <w:sz w:val="22"/>
          <w:szCs w:val="22"/>
        </w:rPr>
      </w:pPr>
      <w:r>
        <w:rPr>
          <w:sz w:val="28"/>
          <w:szCs w:val="28"/>
        </w:rPr>
        <w:t xml:space="preserve">1.3.1. В соответствии с пунктом 3 статьи 54 Федерального закона </w:t>
      </w:r>
      <w:r w:rsidR="003A0636">
        <w:rPr>
          <w:sz w:val="28"/>
          <w:szCs w:val="28"/>
        </w:rPr>
        <w:br/>
      </w:r>
      <w:r>
        <w:rPr>
          <w:sz w:val="28"/>
          <w:szCs w:val="28"/>
        </w:rPr>
        <w:t xml:space="preserve">от 12.06.2002 № 67-ФЗ «Об основных гарантиях избирательных прав и права на участие в референдуме граждан Российской Федерации» (далее – Федеральный закон № 67-ФЗ) 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(далее – экземпляр предвыборного агитационного </w:t>
      </w:r>
      <w:r>
        <w:rPr>
          <w:sz w:val="28"/>
          <w:szCs w:val="28"/>
        </w:rPr>
        <w:lastRenderedPageBreak/>
        <w:t>материала), предназначенных для массового распространения, в том числе посредством информационно-телекоммуникационных сетей, включая сеть «Интернет» (включая сетевые издания), представляются кандидатом, Уполномоченным лицом в ТИК до начала их распространения.</w:t>
      </w:r>
    </w:p>
    <w:p w:rsidR="009A6F2B" w:rsidRDefault="009A6F2B" w:rsidP="003A0636">
      <w:pPr>
        <w:pStyle w:val="ae"/>
        <w:spacing w:before="0" w:beforeAutospacing="0" w:after="0" w:afterAutospacing="0" w:line="276" w:lineRule="auto"/>
        <w:ind w:firstLine="708"/>
        <w:jc w:val="both"/>
        <w:rPr>
          <w:sz w:val="22"/>
          <w:szCs w:val="22"/>
        </w:rPr>
      </w:pPr>
      <w:r>
        <w:rPr>
          <w:sz w:val="28"/>
          <w:szCs w:val="28"/>
        </w:rPr>
        <w:t>Вместе с экземпляром предвыборного агитационного материала в ТИК должны быть представлены:</w:t>
      </w:r>
    </w:p>
    <w:p w:rsidR="009A6F2B" w:rsidRDefault="009A6F2B" w:rsidP="003A0636">
      <w:pPr>
        <w:pStyle w:val="ae"/>
        <w:spacing w:before="0" w:beforeAutospacing="0" w:after="0" w:afterAutospacing="0" w:line="276" w:lineRule="auto"/>
        <w:ind w:firstLine="708"/>
        <w:jc w:val="both"/>
        <w:rPr>
          <w:sz w:val="22"/>
          <w:szCs w:val="22"/>
        </w:rPr>
      </w:pPr>
      <w:r>
        <w:rPr>
          <w:sz w:val="28"/>
          <w:szCs w:val="28"/>
        </w:rPr>
        <w:t>– сведения об адресе юридического лица, индивидуального предпринимателя (адресе места жительства физического лица), изготовивших и заказавших эти материалы;</w:t>
      </w:r>
    </w:p>
    <w:p w:rsidR="009A6F2B" w:rsidRDefault="009A6F2B" w:rsidP="003A0636">
      <w:pPr>
        <w:pStyle w:val="ae"/>
        <w:spacing w:before="0" w:beforeAutospacing="0" w:after="0" w:afterAutospacing="0" w:line="276" w:lineRule="auto"/>
        <w:ind w:firstLine="708"/>
        <w:jc w:val="both"/>
        <w:rPr>
          <w:sz w:val="22"/>
          <w:szCs w:val="22"/>
        </w:rPr>
      </w:pPr>
      <w:r>
        <w:rPr>
          <w:sz w:val="28"/>
          <w:szCs w:val="28"/>
        </w:rPr>
        <w:t>– копия документа об оплате изготовления данного предвыборного агитационного материала за счет средств соответствующего избирательного фонда;</w:t>
      </w:r>
    </w:p>
    <w:p w:rsidR="009A6F2B" w:rsidRDefault="009A6F2B" w:rsidP="003A0636">
      <w:pPr>
        <w:pStyle w:val="ae"/>
        <w:spacing w:before="0" w:beforeAutospacing="0" w:after="0" w:afterAutospacing="0" w:line="276" w:lineRule="auto"/>
        <w:ind w:firstLine="708"/>
        <w:jc w:val="both"/>
        <w:rPr>
          <w:sz w:val="22"/>
          <w:szCs w:val="22"/>
        </w:rPr>
      </w:pPr>
      <w:r>
        <w:rPr>
          <w:sz w:val="28"/>
          <w:szCs w:val="28"/>
        </w:rPr>
        <w:t>– в случае использования в агитационном материале высказываний физического лица о кандидате – документ, подтверждающий согласие данного физического лица на такое использование. Представление указанного документа не требуется в случаях, предусмотренных подпунктами «б»-«в» пункта 9 статьи 48 Федерального закона № 67-ФЗ.</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Рекомендуемая форма уведомления о представлении в ТИК экземпляра предвыборного агитационного материала приведена в приложении № 1а </w:t>
      </w:r>
      <w:r w:rsidR="003A0636">
        <w:rPr>
          <w:sz w:val="28"/>
          <w:szCs w:val="28"/>
        </w:rPr>
        <w:br/>
      </w:r>
      <w:r>
        <w:rPr>
          <w:sz w:val="28"/>
          <w:szCs w:val="28"/>
        </w:rPr>
        <w:t>к настоящему Порядку.</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1.3.2. В соответствии с пунктом 11</w:t>
      </w:r>
      <w:r>
        <w:rPr>
          <w:sz w:val="28"/>
          <w:szCs w:val="28"/>
          <w:vertAlign w:val="superscript"/>
        </w:rPr>
        <w:t>1</w:t>
      </w:r>
      <w:r>
        <w:rPr>
          <w:sz w:val="28"/>
          <w:szCs w:val="28"/>
        </w:rPr>
        <w:t xml:space="preserve"> статьи 50 Федерального закона </w:t>
      </w:r>
      <w:r w:rsidR="003A0636">
        <w:rPr>
          <w:sz w:val="28"/>
          <w:szCs w:val="28"/>
        </w:rPr>
        <w:br/>
      </w:r>
      <w:r>
        <w:rPr>
          <w:sz w:val="28"/>
          <w:szCs w:val="28"/>
        </w:rPr>
        <w:t>№ 67-ФЗ копия предвыборного агитационного материала, предназначенного для размещения на каналах организаций, осуществляющих телерадиовещание, в периодических печатных изданиях</w:t>
      </w:r>
      <w:r>
        <w:rPr>
          <w:b/>
          <w:bCs/>
          <w:sz w:val="28"/>
          <w:szCs w:val="28"/>
        </w:rPr>
        <w:t xml:space="preserve"> </w:t>
      </w:r>
      <w:r>
        <w:rPr>
          <w:sz w:val="28"/>
          <w:szCs w:val="28"/>
        </w:rPr>
        <w:t xml:space="preserve">(далее – копия предвыборного агитационного материала для СМИ), представляется зарегистрированным кандидатом, Уполномоченным лицом в ТИК после направления (передачи) предвыборного агитационного материала </w:t>
      </w:r>
      <w:r w:rsidR="003A0636">
        <w:rPr>
          <w:sz w:val="28"/>
          <w:szCs w:val="28"/>
        </w:rPr>
        <w:br/>
      </w:r>
      <w:r>
        <w:rPr>
          <w:sz w:val="28"/>
          <w:szCs w:val="28"/>
        </w:rPr>
        <w:t>в указанную организацию, редакцию периодического печатного издания и до начала его распространения.</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В случае использования в указанном предвыборном агитационном материале высказываний физического лица о кандидате, об избирательном объединении одновременно с представлением в ТИК копии указанного предвыборного агитационного материала представляется документ, подтверждающий письменное согласие данного физического лица </w:t>
      </w:r>
      <w:r w:rsidR="003A0636">
        <w:rPr>
          <w:sz w:val="28"/>
          <w:szCs w:val="28"/>
        </w:rPr>
        <w:br/>
      </w:r>
      <w:r>
        <w:rPr>
          <w:sz w:val="28"/>
          <w:szCs w:val="28"/>
        </w:rPr>
        <w:t xml:space="preserve">на использование его высказываний. Представление указанного документа </w:t>
      </w:r>
      <w:r w:rsidR="003A0636">
        <w:rPr>
          <w:sz w:val="28"/>
          <w:szCs w:val="28"/>
        </w:rPr>
        <w:br/>
      </w:r>
      <w:r>
        <w:rPr>
          <w:sz w:val="28"/>
          <w:szCs w:val="28"/>
        </w:rPr>
        <w:t>не требуется в случаях, предусмотренных подпунктами «б»-«в» пункта 9 статьи 48 Федерального закона № 67-ФЗ.</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lastRenderedPageBreak/>
        <w:t>В случае использования изображений кандидата в указанном предвыборном агитационном материале вместе с его копией в ТИК представляется соответствующая информация.</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Рекомендуемые формы уведомления о представлении в ТИК копии предвыборного агитационного материала для СМИ приведены </w:t>
      </w:r>
      <w:r w:rsidR="003A0636">
        <w:rPr>
          <w:sz w:val="28"/>
          <w:szCs w:val="28"/>
        </w:rPr>
        <w:br/>
      </w:r>
      <w:r>
        <w:rPr>
          <w:sz w:val="28"/>
          <w:szCs w:val="28"/>
        </w:rPr>
        <w:t>в приложениях № 1би № 1в к настоящему Порядку.</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1.4. Прием членами ТИК экземпляров предвыборных агитационных материалов, копий предвыборных агитационных материалов для СМИ </w:t>
      </w:r>
      <w:r w:rsidR="003A0636">
        <w:rPr>
          <w:sz w:val="28"/>
          <w:szCs w:val="28"/>
        </w:rPr>
        <w:br/>
      </w:r>
      <w:r>
        <w:rPr>
          <w:sz w:val="28"/>
          <w:szCs w:val="28"/>
        </w:rPr>
        <w:t xml:space="preserve">и представляемых одновременно с ними документов, материалов производится по рабочим дням с 09 до 17 часов (в пятницу – до 16 часов), перерыв с 13 до 14 часов. Прием членами ТИК указанных документов </w:t>
      </w:r>
      <w:r w:rsidR="003A0636">
        <w:rPr>
          <w:sz w:val="28"/>
          <w:szCs w:val="28"/>
        </w:rPr>
        <w:br/>
      </w:r>
      <w:r>
        <w:rPr>
          <w:sz w:val="28"/>
          <w:szCs w:val="28"/>
        </w:rPr>
        <w:t>и материалов в иное время и в иные дни осуществляется при условии предварительного согласования кандидатом либо Уполномоченным лицом даты и времени представления документов и материалов с руководителем (заместителем руководителя) Рабочей группы.</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Кандидатам, Уполномоченным лицам рекомендуется заблаговременно информировать ТИК о своем намерении представить указанные документы </w:t>
      </w:r>
      <w:r w:rsidR="003A0636">
        <w:rPr>
          <w:sz w:val="28"/>
          <w:szCs w:val="28"/>
        </w:rPr>
        <w:br/>
      </w:r>
      <w:r>
        <w:rPr>
          <w:sz w:val="28"/>
          <w:szCs w:val="28"/>
        </w:rPr>
        <w:t>и материалы.</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1.5. В соответствии с требованиями пункта 3 статьи 54 Федерального закона № 67-ФЗ экземпляр предвыборного агитационного материала </w:t>
      </w:r>
      <w:r w:rsidR="003A0636">
        <w:rPr>
          <w:sz w:val="28"/>
          <w:szCs w:val="28"/>
        </w:rPr>
        <w:br/>
      </w:r>
      <w:r>
        <w:rPr>
          <w:sz w:val="28"/>
          <w:szCs w:val="28"/>
        </w:rPr>
        <w:t xml:space="preserve">и представляемые с ним документы, материалы должны быть представлены </w:t>
      </w:r>
      <w:r w:rsidR="003A0636">
        <w:rPr>
          <w:sz w:val="28"/>
          <w:szCs w:val="28"/>
        </w:rPr>
        <w:br/>
      </w:r>
      <w:r>
        <w:rPr>
          <w:sz w:val="28"/>
          <w:szCs w:val="28"/>
        </w:rPr>
        <w:t>в ТИК вместе (единым пакетом). Запрещается распространение предвыборных агитационных материалов, изготовленных с нарушением пункта 5 статьи 54 и (или) с нарушением требований, предусмотренных пунктом 3 статьи 54, пунктами 9, 9</w:t>
      </w:r>
      <w:r>
        <w:rPr>
          <w:sz w:val="28"/>
          <w:szCs w:val="28"/>
          <w:vertAlign w:val="superscript"/>
        </w:rPr>
        <w:t>3</w:t>
      </w:r>
      <w:r>
        <w:rPr>
          <w:sz w:val="28"/>
          <w:szCs w:val="28"/>
        </w:rPr>
        <w:t xml:space="preserve"> - 9</w:t>
      </w:r>
      <w:r>
        <w:rPr>
          <w:sz w:val="28"/>
          <w:szCs w:val="28"/>
          <w:vertAlign w:val="superscript"/>
        </w:rPr>
        <w:t>5</w:t>
      </w:r>
      <w:r>
        <w:rPr>
          <w:sz w:val="28"/>
          <w:szCs w:val="28"/>
        </w:rPr>
        <w:t xml:space="preserve"> статьи 48 Федерального закона № 67-ФЗ.</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1.6. Экземпляры предвыборных агитационных материалов, копии предвыборных агитационных материалов для СМИ и представленные одновременно с ним документы, материалы подлежат регистрации </w:t>
      </w:r>
      <w:r w:rsidR="003A0636">
        <w:rPr>
          <w:sz w:val="28"/>
          <w:szCs w:val="28"/>
        </w:rPr>
        <w:br/>
      </w:r>
      <w:r>
        <w:rPr>
          <w:sz w:val="28"/>
          <w:szCs w:val="28"/>
        </w:rPr>
        <w:t>в соответствии с Инструкцией по делопроизводству в ТИК.</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1.7. Направленные в ТИК кандидатом, Уполномоченными лицами </w:t>
      </w:r>
      <w:r w:rsidR="003A0636">
        <w:rPr>
          <w:sz w:val="28"/>
          <w:szCs w:val="28"/>
        </w:rPr>
        <w:br/>
      </w:r>
      <w:r>
        <w:rPr>
          <w:sz w:val="28"/>
          <w:szCs w:val="28"/>
        </w:rPr>
        <w:t xml:space="preserve">с сопроводительными письмами по почте или с курьерами экземпляры предвыборных агитационных материалов, копии предвыборных агитационных материалов для СМИ и представляемые одновременно с ними документы и материалы при поступлении в ТИК регистрируются </w:t>
      </w:r>
      <w:r w:rsidR="003A0636">
        <w:rPr>
          <w:sz w:val="28"/>
          <w:szCs w:val="28"/>
        </w:rPr>
        <w:br/>
      </w:r>
      <w:r>
        <w:rPr>
          <w:sz w:val="28"/>
          <w:szCs w:val="28"/>
        </w:rPr>
        <w:t>в соответствии с Инструкцией по делопроизводству в ТИК.</w:t>
      </w:r>
    </w:p>
    <w:p w:rsidR="009A6F2B" w:rsidRDefault="009A6F2B" w:rsidP="003A0636">
      <w:pPr>
        <w:pStyle w:val="ae"/>
        <w:spacing w:before="240" w:beforeAutospacing="0" w:after="240" w:afterAutospacing="0" w:line="276" w:lineRule="auto"/>
        <w:jc w:val="center"/>
        <w:rPr>
          <w:b/>
          <w:bCs/>
          <w:sz w:val="28"/>
          <w:szCs w:val="28"/>
        </w:rPr>
      </w:pPr>
      <w:r>
        <w:rPr>
          <w:sz w:val="28"/>
          <w:szCs w:val="28"/>
        </w:rPr>
        <w:lastRenderedPageBreak/>
        <w:t>2. Организация работы по приему экземпляров предвыборных агитационных материалов, копий предвыборных агитационных материалов для СМИ и их проверке на соответствие требованиям законодательства о выборах</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2.1. Член ТИК после получения от кандидата, Уполномоченного лица уведомления о представлении экземпляра предвыборного агитационного материала, копии предвыборного агитационного материала для СМИ </w:t>
      </w:r>
      <w:r w:rsidR="003A0636">
        <w:rPr>
          <w:sz w:val="28"/>
          <w:szCs w:val="28"/>
        </w:rPr>
        <w:br/>
      </w:r>
      <w:r>
        <w:rPr>
          <w:sz w:val="28"/>
          <w:szCs w:val="28"/>
        </w:rPr>
        <w:t>и представляемых одновременно с ними документов и материалов(далее – материалы) информирует об этом руководителя Рабочей группы, а в случае его отсутствия – лицо, исполняющее обязанности руководителя Рабочей группы, а также осуществляет прием соответствующих документов, материалов.</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2.2. Член ТИК осуществляет первоначальную проверку представленных материалов на соответствие требованиям законодательства </w:t>
      </w:r>
      <w:r w:rsidR="003A0636">
        <w:rPr>
          <w:sz w:val="28"/>
          <w:szCs w:val="28"/>
        </w:rPr>
        <w:br/>
      </w:r>
      <w:r>
        <w:rPr>
          <w:sz w:val="28"/>
          <w:szCs w:val="28"/>
        </w:rPr>
        <w:t>о выборах, в случае выявления несоответствия он информирует об этом факте кандидата, Уполномоченное лицо и рекомендует представить материалы в ТИК после устранения указанного несоответствия.</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Представленные материалы (в том числе в случае несогласия кандидата, Уполномоченного лица на устранение выявленного при первоначальной проверке вышеуказанного несоответствия) вместе </w:t>
      </w:r>
      <w:r w:rsidR="003A0636">
        <w:rPr>
          <w:sz w:val="28"/>
          <w:szCs w:val="28"/>
        </w:rPr>
        <w:br/>
      </w:r>
      <w:r>
        <w:rPr>
          <w:sz w:val="28"/>
          <w:szCs w:val="28"/>
        </w:rPr>
        <w:t>с уведомлением о представлении материалов в ТИК и его копией (при наличии) незамедлительно передаются членом ТИК инспектору ТИК (далее – Инспектор) для регистрации.</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2.3. Инспектор регистрирует материалы в соответствии с Инструкцией по делопроизводству в ТИК. При наличии копии уведомления </w:t>
      </w:r>
      <w:r w:rsidR="003A0636">
        <w:rPr>
          <w:sz w:val="28"/>
          <w:szCs w:val="28"/>
        </w:rPr>
        <w:br/>
      </w:r>
      <w:r>
        <w:rPr>
          <w:sz w:val="28"/>
          <w:szCs w:val="28"/>
        </w:rPr>
        <w:t>о представлении материалов в ТИК она возвращается кандидату, Уполномоченному лицу с проставленной отметкой о получении материалов.</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2.4. В случае несоответствия информации, содержащейся </w:t>
      </w:r>
      <w:r w:rsidR="003A0636">
        <w:rPr>
          <w:sz w:val="28"/>
          <w:szCs w:val="28"/>
        </w:rPr>
        <w:br/>
      </w:r>
      <w:r>
        <w:rPr>
          <w:sz w:val="28"/>
          <w:szCs w:val="28"/>
        </w:rPr>
        <w:t xml:space="preserve">в сопроводительном письме, прилагаемым к нему материалами неустранения этого несоответствия кандидатом, Уполномоченным лицом членом ТИК </w:t>
      </w:r>
      <w:r w:rsidR="003A0636">
        <w:rPr>
          <w:sz w:val="28"/>
          <w:szCs w:val="28"/>
        </w:rPr>
        <w:br/>
      </w:r>
      <w:r>
        <w:rPr>
          <w:sz w:val="28"/>
          <w:szCs w:val="28"/>
        </w:rPr>
        <w:t xml:space="preserve">и Инспектором составляется акт в двух экземплярах по указанной </w:t>
      </w:r>
      <w:r w:rsidR="003A0636">
        <w:rPr>
          <w:sz w:val="28"/>
          <w:szCs w:val="28"/>
        </w:rPr>
        <w:br/>
      </w:r>
      <w:r>
        <w:rPr>
          <w:sz w:val="28"/>
          <w:szCs w:val="28"/>
        </w:rPr>
        <w:t xml:space="preserve">в приложении № 2 к настоящему Порядку форме. Об указанных обстоятельствах кандидат, Уполномоченное лицо незамедлительно уведомляется письмом за подписью руководителя Рабочей группы </w:t>
      </w:r>
      <w:r w:rsidR="003A0636">
        <w:rPr>
          <w:sz w:val="28"/>
          <w:szCs w:val="28"/>
        </w:rPr>
        <w:br/>
      </w:r>
      <w:r>
        <w:rPr>
          <w:sz w:val="28"/>
          <w:szCs w:val="28"/>
        </w:rPr>
        <w:t>с приложением одного экземпляра акта. Второй экземпляр акта приобщается к представленному предвыборному агитационному материалу.</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2.5. В случае несоответствия экземпляра предвыборного агитационного материала требованиям законодательства либо в случае нарушения требований пункта 3 статьи 54 Федерального закона № 67-ФЗ о порядке </w:t>
      </w:r>
      <w:r>
        <w:rPr>
          <w:sz w:val="28"/>
          <w:szCs w:val="28"/>
        </w:rPr>
        <w:lastRenderedPageBreak/>
        <w:t xml:space="preserve">представления экземпляров предвыборных агитационных материалов член ТИК выносит в письменной форме заключение о несоответствии представленного экземпляра предвыборного агитационного материала требованиям законодательства о порядке изготовления такого материала </w:t>
      </w:r>
      <w:r w:rsidR="003A0636">
        <w:rPr>
          <w:sz w:val="28"/>
          <w:szCs w:val="28"/>
        </w:rPr>
        <w:br/>
      </w:r>
      <w:r>
        <w:rPr>
          <w:sz w:val="28"/>
          <w:szCs w:val="28"/>
        </w:rPr>
        <w:t xml:space="preserve">по приведенным в приложении № 3а к настоящему Порядку форме. </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2.6. В случае несоответствия копии предвыборного агитационного материала для СМИ требованиям законодательства либо в случае нарушения требований пункта 11</w:t>
      </w:r>
      <w:r>
        <w:rPr>
          <w:sz w:val="28"/>
          <w:szCs w:val="28"/>
          <w:vertAlign w:val="superscript"/>
        </w:rPr>
        <w:t>1</w:t>
      </w:r>
      <w:r>
        <w:rPr>
          <w:sz w:val="28"/>
          <w:szCs w:val="28"/>
        </w:rPr>
        <w:t xml:space="preserve"> статьи 50 Федерального закона № 67-ФЗ о порядке представления копии предвыборного агитационного материала для СМИ член ТИК выносит в письменной форме заключение о несоответствии представленной копии предвыборного агитационного материала для СМИ требованиям законодательства по приведенной в приложении № 3б </w:t>
      </w:r>
      <w:r w:rsidR="003A0636">
        <w:rPr>
          <w:sz w:val="28"/>
          <w:szCs w:val="28"/>
        </w:rPr>
        <w:br/>
      </w:r>
      <w:r>
        <w:rPr>
          <w:sz w:val="28"/>
          <w:szCs w:val="28"/>
        </w:rPr>
        <w:t>к настоящему Порядку форме.</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2.7. Сопроводительное письмо вместе с прилагаемыми к нему материалами, а также заключением, указанным в пункте 2.5 или 2.6настоящего Порядка, и актами, указанными в пунктах 2.4 настоящего Порядка, представляется членом ТИК руководителю Рабочей группы не позднее чем через четыре часа после регистрации документа.</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2.9. О выявленных нарушениях законодательства руководитель Рабочей группы информирует председателя ТИК, а также согласовывает вопрос о направлении соответствующего уведомления кандидату, Уполномоченному лицу, организации телерадиовещания, редакции периодического печатного издания. Решение о вынесении вопроса </w:t>
      </w:r>
      <w:r w:rsidR="003A0636">
        <w:rPr>
          <w:sz w:val="28"/>
          <w:szCs w:val="28"/>
        </w:rPr>
        <w:br/>
      </w:r>
      <w:r>
        <w:rPr>
          <w:sz w:val="28"/>
          <w:szCs w:val="28"/>
        </w:rPr>
        <w:t>на рассмотрение Рабочей группы принимается в порядке, предусмотренном Положением о Рабочей группе.</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2.10. В случае обнаружения признаков административного правонарушения, предусмотренного частью 1 статьи 5.12 Кодекса Российской Федерации об административных правонарушениях, информация доводится члену ТИК с правом решающего голоса, уполномоченному составлять протоколы об административных правонарушениях.</w:t>
      </w:r>
    </w:p>
    <w:p w:rsidR="009A6F2B" w:rsidRDefault="009A6F2B" w:rsidP="003A0636">
      <w:pPr>
        <w:pStyle w:val="ae"/>
        <w:spacing w:before="240" w:beforeAutospacing="0" w:after="240" w:afterAutospacing="0" w:line="276" w:lineRule="auto"/>
        <w:jc w:val="center"/>
        <w:rPr>
          <w:b/>
          <w:bCs/>
          <w:sz w:val="28"/>
          <w:szCs w:val="28"/>
        </w:rPr>
      </w:pPr>
      <w:r>
        <w:rPr>
          <w:sz w:val="28"/>
          <w:szCs w:val="28"/>
        </w:rPr>
        <w:t xml:space="preserve">3. Учет и хранение предвыборных агитационных материалов, представляемых в Территориальную избирательную комиссию </w:t>
      </w:r>
    </w:p>
    <w:p w:rsidR="009A6F2B" w:rsidRDefault="009A6F2B" w:rsidP="003A0636">
      <w:pPr>
        <w:pStyle w:val="ae"/>
        <w:spacing w:before="0" w:beforeAutospacing="0" w:after="0" w:afterAutospacing="0" w:line="276" w:lineRule="auto"/>
        <w:jc w:val="center"/>
        <w:rPr>
          <w:b/>
          <w:bCs/>
          <w:sz w:val="28"/>
          <w:szCs w:val="28"/>
        </w:rPr>
      </w:pPr>
      <w:r>
        <w:rPr>
          <w:sz w:val="28"/>
          <w:szCs w:val="28"/>
        </w:rPr>
        <w:t>Орловского района Ростовской области</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3.1. Учет предвыборных агитационных материалов и представляемых одновременно с ними документов, материалов осуществляется в Рабочей группе по приведенной в приложении № 4к настоящему Порядку форме </w:t>
      </w:r>
      <w:r w:rsidR="003A0636">
        <w:rPr>
          <w:sz w:val="28"/>
          <w:szCs w:val="28"/>
        </w:rPr>
        <w:br/>
      </w:r>
      <w:r>
        <w:rPr>
          <w:sz w:val="28"/>
          <w:szCs w:val="28"/>
        </w:rPr>
        <w:t xml:space="preserve">(в машиночитаемом виде) членом ТИК, осуществляющим учет, </w:t>
      </w:r>
      <w:r>
        <w:rPr>
          <w:sz w:val="28"/>
          <w:szCs w:val="28"/>
        </w:rPr>
        <w:lastRenderedPageBreak/>
        <w:t>систематизацию, хранение предвыборных агитационных материалов, представленных в ТИК.</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3.2. Учет полученных документов, подтверждающих согласие физических лиц на использование высказываний о кандидате, представляемых одновременно с экземпляром предвыборного агитационного материала, осуществляется в Рабочей группе по приведенной в приложении № 5 к настоящему Порядку форме (в машиночитаемом виде) членом ТИК, осуществляющим учет, систематизацию, хранение предвыборных агитационных материалов, представленных в ТИК.</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3.3. Экземпляры предвыборных агитационных материалов </w:t>
      </w:r>
      <w:r w:rsidR="003A0636">
        <w:rPr>
          <w:sz w:val="28"/>
          <w:szCs w:val="28"/>
        </w:rPr>
        <w:br/>
      </w:r>
      <w:r>
        <w:rPr>
          <w:sz w:val="28"/>
          <w:szCs w:val="28"/>
        </w:rPr>
        <w:t xml:space="preserve">и представляемые одновременно с ними документы и материалы выдаются члену ТИК, осуществляющему учет, систематизацию и хранение предвыборных агитационных материалов, представленных в ТИК, </w:t>
      </w:r>
      <w:r w:rsidR="003A0636">
        <w:rPr>
          <w:sz w:val="28"/>
          <w:szCs w:val="28"/>
        </w:rPr>
        <w:br/>
      </w:r>
      <w:r>
        <w:rPr>
          <w:sz w:val="28"/>
          <w:szCs w:val="28"/>
        </w:rPr>
        <w:t>по указанию руководителя Рабочей группы под подпись члену ТИК, осуществлявшему прием указанных материалов, либо иному члену ТИК, ответственному за ввод сведений в информационно-поисковую систему «Чистый Дон» на период, необходимый для такого размещения. Повторная выдача указанных материалов и документов, а равно их выдача иному лицу возможна под подпись и только по указанию руководителя Рабочей группы. Перед окончанием рабочего дня документы и материалы возвращаются члену ТИК, осуществляющему учет, систематизацию и хранение предвыборных агитационных материалов, представленных в ТИК.</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3.4. Экземпляры предвыборных агитационных материалов </w:t>
      </w:r>
      <w:r w:rsidR="003A0636">
        <w:rPr>
          <w:sz w:val="28"/>
          <w:szCs w:val="28"/>
        </w:rPr>
        <w:br/>
      </w:r>
      <w:r>
        <w:rPr>
          <w:sz w:val="28"/>
          <w:szCs w:val="28"/>
        </w:rPr>
        <w:t xml:space="preserve">и представляемых одновременно с ними документов, материалов вместе </w:t>
      </w:r>
      <w:r w:rsidR="003A0636">
        <w:rPr>
          <w:sz w:val="28"/>
          <w:szCs w:val="28"/>
        </w:rPr>
        <w:br/>
      </w:r>
      <w:r>
        <w:rPr>
          <w:sz w:val="28"/>
          <w:szCs w:val="28"/>
        </w:rPr>
        <w:t xml:space="preserve">с заключениями, указанными в пунктах 2.5 и 2.6, и актом, указанным </w:t>
      </w:r>
      <w:r w:rsidR="003A0636">
        <w:rPr>
          <w:sz w:val="28"/>
          <w:szCs w:val="28"/>
        </w:rPr>
        <w:br/>
      </w:r>
      <w:r>
        <w:rPr>
          <w:sz w:val="28"/>
          <w:szCs w:val="28"/>
        </w:rPr>
        <w:t xml:space="preserve">в пунктах 2.4, а также формы учета, указанные в пунктах 3.1 и 3.2 настоящего Порядка, хранятся у члена ТИК, осуществляющего учет, систематизацию и хранение предвыборных агитационных материалов, представленных в ТИК. Доступ к подлинникам указанных материалов </w:t>
      </w:r>
      <w:r w:rsidR="003A0636">
        <w:rPr>
          <w:sz w:val="28"/>
          <w:szCs w:val="28"/>
        </w:rPr>
        <w:br/>
      </w:r>
      <w:r>
        <w:rPr>
          <w:sz w:val="28"/>
          <w:szCs w:val="28"/>
        </w:rPr>
        <w:t>и документов осуществляется с разрешения руководителя Рабочей группы.</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3.5. Хранение, передача в архив, уничтожение документов, указанных в пункте 3.4 настоящего Порядка, осуществляется в соответствии </w:t>
      </w:r>
      <w:r w:rsidR="003A0636">
        <w:rPr>
          <w:sz w:val="28"/>
          <w:szCs w:val="28"/>
        </w:rPr>
        <w:br/>
      </w:r>
      <w:r>
        <w:rPr>
          <w:sz w:val="28"/>
          <w:szCs w:val="28"/>
        </w:rPr>
        <w:t>с утвержденным порядком.</w:t>
      </w:r>
    </w:p>
    <w:p w:rsidR="009A6F2B" w:rsidRDefault="009A6F2B" w:rsidP="003A0636">
      <w:pPr>
        <w:pStyle w:val="ae"/>
        <w:spacing w:before="240" w:beforeAutospacing="0" w:after="240" w:afterAutospacing="0" w:line="276" w:lineRule="auto"/>
        <w:jc w:val="center"/>
        <w:rPr>
          <w:b/>
          <w:bCs/>
          <w:sz w:val="28"/>
          <w:szCs w:val="28"/>
        </w:rPr>
      </w:pPr>
      <w:r>
        <w:rPr>
          <w:sz w:val="28"/>
          <w:szCs w:val="28"/>
        </w:rPr>
        <w:t>4. Порядок и организация работы по подготовке к размещению информации, вводимой в информационно-поисковую систему «Чистый Дон»</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4.1. В информационно-поисковую систему «Чистый Дон» вводятся электронные образы предвыборных агитационных материалов, </w:t>
      </w:r>
      <w:r>
        <w:rPr>
          <w:sz w:val="28"/>
          <w:szCs w:val="28"/>
        </w:rPr>
        <w:lastRenderedPageBreak/>
        <w:t>представленных в ТИК в соответствии с пунктом 3 статьи 54 Федерального закона № 67-ФЗ.</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 xml:space="preserve">В информационно-поисковую систему «Чистый Дон» не вводятся электронные образы агитационных материалов, предназначенных для размещения на каналах организаций, осуществляющих телерадиовещание, </w:t>
      </w:r>
      <w:r w:rsidR="003A0636">
        <w:rPr>
          <w:sz w:val="28"/>
          <w:szCs w:val="28"/>
        </w:rPr>
        <w:br/>
      </w:r>
      <w:r>
        <w:rPr>
          <w:sz w:val="28"/>
          <w:szCs w:val="28"/>
        </w:rPr>
        <w:t>в периодических печатных изданиях, представленных в ТИК в соответствии с п. 11</w:t>
      </w:r>
      <w:r>
        <w:rPr>
          <w:sz w:val="28"/>
          <w:szCs w:val="28"/>
          <w:vertAlign w:val="superscript"/>
        </w:rPr>
        <w:t>1</w:t>
      </w:r>
      <w:r>
        <w:rPr>
          <w:sz w:val="28"/>
          <w:szCs w:val="28"/>
        </w:rPr>
        <w:t xml:space="preserve"> ст. 50 Федерального закона № 67-ФЗ.</w:t>
      </w:r>
    </w:p>
    <w:p w:rsidR="009A6F2B" w:rsidRDefault="009A6F2B" w:rsidP="003A0636">
      <w:pPr>
        <w:pStyle w:val="ae"/>
        <w:spacing w:before="0" w:beforeAutospacing="0" w:after="0" w:afterAutospacing="0" w:line="276" w:lineRule="auto"/>
        <w:ind w:firstLine="709"/>
        <w:jc w:val="both"/>
        <w:rPr>
          <w:sz w:val="28"/>
          <w:szCs w:val="28"/>
        </w:rPr>
      </w:pPr>
      <w:r>
        <w:rPr>
          <w:sz w:val="28"/>
          <w:szCs w:val="28"/>
        </w:rPr>
        <w:t>4.2. Ввод информации в информационно-поисковую систему «Чисты</w:t>
      </w:r>
      <w:r w:rsidR="003A0636">
        <w:rPr>
          <w:sz w:val="28"/>
          <w:szCs w:val="28"/>
        </w:rPr>
        <w:br/>
      </w:r>
      <w:r>
        <w:rPr>
          <w:sz w:val="28"/>
          <w:szCs w:val="28"/>
        </w:rPr>
        <w:t>й Дон» осуществляет лицо, ответственное за ввод информации в информационно-поисковую систему «Чистый Дон».</w:t>
      </w:r>
    </w:p>
    <w:p w:rsidR="009A6F2B" w:rsidRDefault="009A6F2B" w:rsidP="003A0636">
      <w:pPr>
        <w:pStyle w:val="ae"/>
        <w:spacing w:before="240" w:beforeAutospacing="0" w:after="240" w:afterAutospacing="0" w:line="276" w:lineRule="auto"/>
        <w:jc w:val="center"/>
        <w:rPr>
          <w:sz w:val="22"/>
          <w:szCs w:val="22"/>
        </w:rPr>
      </w:pPr>
      <w:r>
        <w:rPr>
          <w:sz w:val="28"/>
          <w:szCs w:val="28"/>
        </w:rPr>
        <w:t>5. Порядок и организация работы по размещению отдельных видов</w:t>
      </w:r>
    </w:p>
    <w:p w:rsidR="009A6F2B" w:rsidRDefault="009A6F2B" w:rsidP="003A0636">
      <w:pPr>
        <w:pStyle w:val="ae"/>
        <w:spacing w:before="0" w:beforeAutospacing="0" w:after="0" w:afterAutospacing="0" w:line="276" w:lineRule="auto"/>
        <w:jc w:val="center"/>
        <w:rPr>
          <w:sz w:val="22"/>
          <w:szCs w:val="22"/>
        </w:rPr>
      </w:pPr>
      <w:r>
        <w:rPr>
          <w:sz w:val="28"/>
          <w:szCs w:val="28"/>
        </w:rPr>
        <w:t>агитационных аудиоматериалов, аудиовизуальных материалов</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5.1. Если агитационный аудиоматериал или аудиовизуальный материа</w:t>
      </w:r>
      <w:r w:rsidR="003A0636">
        <w:rPr>
          <w:sz w:val="28"/>
          <w:szCs w:val="28"/>
        </w:rPr>
        <w:br/>
      </w:r>
      <w:r>
        <w:rPr>
          <w:sz w:val="28"/>
          <w:szCs w:val="28"/>
        </w:rPr>
        <w:t xml:space="preserve">л записан на внешнем носителе, защищенном от копирования, и (или) </w:t>
      </w:r>
      <w:r w:rsidR="003A0636">
        <w:rPr>
          <w:sz w:val="28"/>
          <w:szCs w:val="28"/>
        </w:rPr>
        <w:br/>
      </w:r>
      <w:r>
        <w:rPr>
          <w:sz w:val="28"/>
          <w:szCs w:val="28"/>
        </w:rPr>
        <w:t>в формате, не позволяющем его копировать стандартными программным</w:t>
      </w:r>
      <w:r w:rsidR="003A0636">
        <w:rPr>
          <w:sz w:val="28"/>
          <w:szCs w:val="28"/>
        </w:rPr>
        <w:br/>
      </w:r>
      <w:r>
        <w:rPr>
          <w:sz w:val="28"/>
          <w:szCs w:val="28"/>
        </w:rPr>
        <w:t xml:space="preserve">и средствами, электронный образ такого материала размещается </w:t>
      </w:r>
      <w:r w:rsidR="003A0636">
        <w:rPr>
          <w:sz w:val="28"/>
          <w:szCs w:val="28"/>
        </w:rPr>
        <w:br/>
      </w:r>
      <w:r>
        <w:rPr>
          <w:sz w:val="28"/>
          <w:szCs w:val="28"/>
        </w:rPr>
        <w:t>в информационно-поисковую систему «Чистый Дон» после осуществления конвертации файлов, содержащих указанные предвыборные агитационные материалы, при наличии указания руководителя Рабочей группы.</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5.2. Преобразование электронного образа соответствующего файла в формат, позволяющий его копировать стандартными программными средствами, осуществляется системным администратором территориального комплекса средств автоматизации сектора эксплуатации Государственной автоматизированной системы Российской Федерации «Выборы» информационного отдела Избирательной комиссии Ростовской области.</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5.3. В случае представления в ТИК агитационного аудиоматериала или аудиовизуального материала на внешнем носителе, на поверхности или упаковке которого содержатся сведения, предусмотренные пунктом 2 статьи 54 Федерального закона № 67-ФЗ, в информационно-поисковой системе «Чистый Дон» размещается электронный образ (скан или фотография) данных сведений </w:t>
      </w:r>
      <w:r>
        <w:rPr>
          <w:spacing w:val="3"/>
          <w:sz w:val="28"/>
          <w:szCs w:val="28"/>
        </w:rPr>
        <w:t>в формате pdf или jpeg</w:t>
      </w:r>
      <w:r>
        <w:rPr>
          <w:sz w:val="28"/>
          <w:szCs w:val="28"/>
        </w:rPr>
        <w:t>.</w:t>
      </w:r>
    </w:p>
    <w:p w:rsidR="009A6F2B" w:rsidRDefault="009A6F2B" w:rsidP="003A0636">
      <w:pPr>
        <w:pStyle w:val="ae"/>
        <w:spacing w:before="240" w:beforeAutospacing="0" w:after="240" w:afterAutospacing="0" w:line="276" w:lineRule="auto"/>
        <w:jc w:val="center"/>
        <w:rPr>
          <w:sz w:val="22"/>
          <w:szCs w:val="22"/>
        </w:rPr>
      </w:pPr>
      <w:r>
        <w:rPr>
          <w:sz w:val="28"/>
          <w:szCs w:val="28"/>
        </w:rPr>
        <w:t xml:space="preserve">6. Организация проверки представленных агитационных материалов </w:t>
      </w:r>
      <w:r w:rsidR="003A0636">
        <w:rPr>
          <w:sz w:val="28"/>
          <w:szCs w:val="28"/>
        </w:rPr>
        <w:br/>
      </w:r>
      <w:r>
        <w:rPr>
          <w:sz w:val="28"/>
          <w:szCs w:val="28"/>
        </w:rPr>
        <w:t>на соответствие требованиям законодательства о финансировании избирательной кампании</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6.1. Член ТИК, осуществлявший прием агитационных материалов, </w:t>
      </w:r>
      <w:r w:rsidR="003A0636">
        <w:rPr>
          <w:sz w:val="28"/>
          <w:szCs w:val="28"/>
        </w:rPr>
        <w:br/>
      </w:r>
      <w:r>
        <w:rPr>
          <w:sz w:val="28"/>
          <w:szCs w:val="28"/>
        </w:rPr>
        <w:t xml:space="preserve">в течение дня с момента регистрации предвыборных агитационных </w:t>
      </w:r>
      <w:r>
        <w:rPr>
          <w:sz w:val="28"/>
          <w:szCs w:val="28"/>
        </w:rPr>
        <w:lastRenderedPageBreak/>
        <w:t xml:space="preserve">материалов осуществляет проверку оплаты изготовления данных предвыборных агитационных материалов из средств соответствующего избирательного фонда, оплату их размещения на каналах организаций телерадиовещания, в периодических печатных изданиях. В случае представления в ТИК в течение одного рабочего дня более 30 предвыборных агитационных материалов срок проведения указанной проверки по данным материалам по решению руководителя Рабочей группы может быть продлен, но не более чем до 12.00 следующего дня. Член ТИК, осуществлявший прием агитационных материалов, информирует руководителя Рабочей группы </w:t>
      </w:r>
      <w:r w:rsidR="003A0636">
        <w:rPr>
          <w:sz w:val="28"/>
          <w:szCs w:val="28"/>
        </w:rPr>
        <w:br/>
      </w:r>
      <w:r>
        <w:rPr>
          <w:sz w:val="28"/>
          <w:szCs w:val="28"/>
        </w:rPr>
        <w:t xml:space="preserve">о результатах проверки и вносит соответствующую запись в форму внутреннего учета. В случае отсутствия на момент проведения проверки сведений о списании соответствующих денежных средств, в форму внутреннего учета вносится запись «Сведения об оплате изготовления отсутствуют» либо запись «Сведения о списании средств за __.__.____г. </w:t>
      </w:r>
      <w:r w:rsidR="003A0636">
        <w:rPr>
          <w:sz w:val="28"/>
          <w:szCs w:val="28"/>
        </w:rPr>
        <w:br/>
      </w:r>
      <w:r>
        <w:rPr>
          <w:sz w:val="28"/>
          <w:szCs w:val="28"/>
        </w:rPr>
        <w:t>не поступали» с указанием даты соответствующего платежного документа. этом случае, а также в случае выявления нарушения член ТИК незамедлительно докладывает об этом руководителю Рабочей группы. Руководитель Рабочей группы информирует председателя ТИК и решает вопрос о принятии дальнейших мер в связи с выявленными нарушениями.</w:t>
      </w:r>
    </w:p>
    <w:p w:rsidR="009A6F2B" w:rsidRDefault="009A6F2B" w:rsidP="003A0636">
      <w:pPr>
        <w:pStyle w:val="ae"/>
        <w:spacing w:before="0" w:beforeAutospacing="0" w:after="0" w:afterAutospacing="0" w:line="276" w:lineRule="auto"/>
        <w:ind w:firstLine="709"/>
        <w:jc w:val="both"/>
        <w:rPr>
          <w:sz w:val="22"/>
          <w:szCs w:val="22"/>
        </w:rPr>
      </w:pPr>
      <w:r>
        <w:rPr>
          <w:sz w:val="28"/>
          <w:szCs w:val="28"/>
        </w:rPr>
        <w:t xml:space="preserve">6.2. Член ТИК, получивший информацию о факте распространения </w:t>
      </w:r>
      <w:r w:rsidR="003A0636">
        <w:rPr>
          <w:sz w:val="28"/>
          <w:szCs w:val="28"/>
        </w:rPr>
        <w:br/>
      </w:r>
      <w:r>
        <w:rPr>
          <w:sz w:val="28"/>
          <w:szCs w:val="28"/>
        </w:rPr>
        <w:t>на соответствующей территории предвыборного агитационного материала, не представленного в ТИК, а также информацию о несоответствии выходных данных представленного агитационного материала, наличии иных оснований для запрещения распространения агитационного материала, незамедлительно сообщает об этом руководителю Рабочей группы.</w:t>
      </w:r>
    </w:p>
    <w:p w:rsidR="005701C8" w:rsidRPr="00930CC6" w:rsidRDefault="005701C8" w:rsidP="005701C8">
      <w:pPr>
        <w:spacing w:after="0" w:line="240" w:lineRule="auto"/>
        <w:jc w:val="center"/>
        <w:rPr>
          <w:rFonts w:ascii="Times New Roman" w:hAnsi="Times New Roman" w:cs="Times New Roman"/>
          <w:sz w:val="28"/>
          <w:szCs w:val="28"/>
        </w:rPr>
      </w:pPr>
    </w:p>
    <w:sectPr w:rsidR="005701C8" w:rsidRPr="00930CC6" w:rsidSect="00E3440B">
      <w:headerReference w:type="default" r:id="rId8"/>
      <w:headerReference w:type="first" r:id="rId9"/>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D59" w:rsidRDefault="00562D59" w:rsidP="00106AC7">
      <w:pPr>
        <w:spacing w:after="0" w:line="240" w:lineRule="auto"/>
      </w:pPr>
      <w:r>
        <w:separator/>
      </w:r>
    </w:p>
  </w:endnote>
  <w:endnote w:type="continuationSeparator" w:id="1">
    <w:p w:rsidR="00562D59" w:rsidRDefault="00562D59" w:rsidP="00106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D59" w:rsidRDefault="00562D59" w:rsidP="00106AC7">
      <w:pPr>
        <w:spacing w:after="0" w:line="240" w:lineRule="auto"/>
      </w:pPr>
      <w:r>
        <w:separator/>
      </w:r>
    </w:p>
  </w:footnote>
  <w:footnote w:type="continuationSeparator" w:id="1">
    <w:p w:rsidR="00562D59" w:rsidRDefault="00562D59" w:rsidP="00106A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13135"/>
      <w:docPartObj>
        <w:docPartGallery w:val="Page Numbers (Top of Page)"/>
        <w:docPartUnique/>
      </w:docPartObj>
    </w:sdtPr>
    <w:sdtContent>
      <w:p w:rsidR="00F06C7C" w:rsidRDefault="00B166B6">
        <w:pPr>
          <w:pStyle w:val="a3"/>
          <w:jc w:val="center"/>
        </w:pPr>
        <w:r w:rsidRPr="00272DF3">
          <w:rPr>
            <w:rFonts w:ascii="Times New Roman" w:hAnsi="Times New Roman" w:cs="Times New Roman"/>
            <w:sz w:val="24"/>
            <w:szCs w:val="24"/>
          </w:rPr>
          <w:fldChar w:fldCharType="begin"/>
        </w:r>
        <w:r w:rsidR="00F06C7C" w:rsidRPr="00272DF3">
          <w:rPr>
            <w:rFonts w:ascii="Times New Roman" w:hAnsi="Times New Roman" w:cs="Times New Roman"/>
            <w:sz w:val="24"/>
            <w:szCs w:val="24"/>
          </w:rPr>
          <w:instrText>PAGE   \* MERGEFORMAT</w:instrText>
        </w:r>
        <w:r w:rsidRPr="00272DF3">
          <w:rPr>
            <w:rFonts w:ascii="Times New Roman" w:hAnsi="Times New Roman" w:cs="Times New Roman"/>
            <w:sz w:val="24"/>
            <w:szCs w:val="24"/>
          </w:rPr>
          <w:fldChar w:fldCharType="separate"/>
        </w:r>
        <w:r w:rsidR="003A0636">
          <w:rPr>
            <w:rFonts w:ascii="Times New Roman" w:hAnsi="Times New Roman" w:cs="Times New Roman"/>
            <w:noProof/>
            <w:sz w:val="24"/>
            <w:szCs w:val="24"/>
          </w:rPr>
          <w:t>4</w:t>
        </w:r>
        <w:r w:rsidRPr="00272DF3">
          <w:rPr>
            <w:rFonts w:ascii="Times New Roman" w:hAnsi="Times New Roman" w:cs="Times New Roman"/>
            <w:sz w:val="24"/>
            <w:szCs w:val="24"/>
          </w:rPr>
          <w:fldChar w:fldCharType="end"/>
        </w:r>
      </w:p>
    </w:sdtContent>
  </w:sdt>
  <w:p w:rsidR="00F06C7C" w:rsidRDefault="00F06C7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7C" w:rsidRPr="00A37744" w:rsidRDefault="00F06C7C">
    <w:pPr>
      <w:pStyle w:val="a3"/>
      <w:jc w:val="center"/>
      <w:rPr>
        <w:rFonts w:ascii="Times New Roman" w:hAnsi="Times New Roman" w:cs="Times New Roman"/>
        <w:sz w:val="24"/>
        <w:szCs w:val="24"/>
      </w:rPr>
    </w:pPr>
  </w:p>
  <w:p w:rsidR="00F06C7C" w:rsidRDefault="00F06C7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B7930"/>
    <w:multiLevelType w:val="hybridMultilevel"/>
    <w:tmpl w:val="1488FA36"/>
    <w:lvl w:ilvl="0" w:tplc="EDBAA4D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EF764F9"/>
    <w:multiLevelType w:val="hybridMultilevel"/>
    <w:tmpl w:val="2ABCF5D8"/>
    <w:lvl w:ilvl="0" w:tplc="F8F69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DF81ABA"/>
    <w:multiLevelType w:val="hybridMultilevel"/>
    <w:tmpl w:val="ECE010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04316FB"/>
    <w:multiLevelType w:val="hybridMultilevel"/>
    <w:tmpl w:val="B636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defaultTabStop w:val="708"/>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67191A"/>
    <w:rsid w:val="000036E4"/>
    <w:rsid w:val="00005946"/>
    <w:rsid w:val="00007B69"/>
    <w:rsid w:val="000127B3"/>
    <w:rsid w:val="00014623"/>
    <w:rsid w:val="000146E9"/>
    <w:rsid w:val="00014FE6"/>
    <w:rsid w:val="00020401"/>
    <w:rsid w:val="00021692"/>
    <w:rsid w:val="00021AB1"/>
    <w:rsid w:val="00021E5C"/>
    <w:rsid w:val="00024DDF"/>
    <w:rsid w:val="00025A6C"/>
    <w:rsid w:val="00032C90"/>
    <w:rsid w:val="00034847"/>
    <w:rsid w:val="000352C9"/>
    <w:rsid w:val="000370AA"/>
    <w:rsid w:val="0004061F"/>
    <w:rsid w:val="00040EDA"/>
    <w:rsid w:val="00045E48"/>
    <w:rsid w:val="00050362"/>
    <w:rsid w:val="000527B0"/>
    <w:rsid w:val="00060779"/>
    <w:rsid w:val="000642A9"/>
    <w:rsid w:val="00064A2C"/>
    <w:rsid w:val="00070C6E"/>
    <w:rsid w:val="00074940"/>
    <w:rsid w:val="00080F9D"/>
    <w:rsid w:val="00081D01"/>
    <w:rsid w:val="00082358"/>
    <w:rsid w:val="00083966"/>
    <w:rsid w:val="00083E5E"/>
    <w:rsid w:val="000846F6"/>
    <w:rsid w:val="00086A69"/>
    <w:rsid w:val="00087EBE"/>
    <w:rsid w:val="00090DFF"/>
    <w:rsid w:val="00093D40"/>
    <w:rsid w:val="00093F40"/>
    <w:rsid w:val="000968EF"/>
    <w:rsid w:val="000A3703"/>
    <w:rsid w:val="000A5213"/>
    <w:rsid w:val="000B1124"/>
    <w:rsid w:val="000B5562"/>
    <w:rsid w:val="000B59B0"/>
    <w:rsid w:val="000B740F"/>
    <w:rsid w:val="000B7DEC"/>
    <w:rsid w:val="000E350F"/>
    <w:rsid w:val="000E3FAD"/>
    <w:rsid w:val="000E61FD"/>
    <w:rsid w:val="000E74C0"/>
    <w:rsid w:val="000F16D0"/>
    <w:rsid w:val="000F441D"/>
    <w:rsid w:val="000F5DFC"/>
    <w:rsid w:val="00105370"/>
    <w:rsid w:val="00105680"/>
    <w:rsid w:val="00105D9C"/>
    <w:rsid w:val="00106AC7"/>
    <w:rsid w:val="00107B5E"/>
    <w:rsid w:val="001138C8"/>
    <w:rsid w:val="00115666"/>
    <w:rsid w:val="00115B41"/>
    <w:rsid w:val="00115C04"/>
    <w:rsid w:val="00121ABD"/>
    <w:rsid w:val="001224E1"/>
    <w:rsid w:val="00124A62"/>
    <w:rsid w:val="00127BC8"/>
    <w:rsid w:val="00127E70"/>
    <w:rsid w:val="001319B3"/>
    <w:rsid w:val="00135DE3"/>
    <w:rsid w:val="00136A5E"/>
    <w:rsid w:val="00136D65"/>
    <w:rsid w:val="00144056"/>
    <w:rsid w:val="001571F7"/>
    <w:rsid w:val="00161A0C"/>
    <w:rsid w:val="00161A51"/>
    <w:rsid w:val="0016573E"/>
    <w:rsid w:val="00166EF1"/>
    <w:rsid w:val="00170599"/>
    <w:rsid w:val="00172A1E"/>
    <w:rsid w:val="001737C9"/>
    <w:rsid w:val="00176F50"/>
    <w:rsid w:val="001775C9"/>
    <w:rsid w:val="001829E4"/>
    <w:rsid w:val="00192815"/>
    <w:rsid w:val="0019358D"/>
    <w:rsid w:val="001937C3"/>
    <w:rsid w:val="00196BB9"/>
    <w:rsid w:val="00197BBC"/>
    <w:rsid w:val="001A4BDB"/>
    <w:rsid w:val="001A53B8"/>
    <w:rsid w:val="001A6694"/>
    <w:rsid w:val="001B32C3"/>
    <w:rsid w:val="001B3CD8"/>
    <w:rsid w:val="001B692A"/>
    <w:rsid w:val="001B6BF3"/>
    <w:rsid w:val="001C4DD7"/>
    <w:rsid w:val="001E24C9"/>
    <w:rsid w:val="001E3B10"/>
    <w:rsid w:val="001E4C8E"/>
    <w:rsid w:val="001F147C"/>
    <w:rsid w:val="001F3C85"/>
    <w:rsid w:val="001F50C6"/>
    <w:rsid w:val="001F5279"/>
    <w:rsid w:val="00203112"/>
    <w:rsid w:val="00204CB6"/>
    <w:rsid w:val="002116A2"/>
    <w:rsid w:val="00212E01"/>
    <w:rsid w:val="00213A73"/>
    <w:rsid w:val="00213AB1"/>
    <w:rsid w:val="00215F05"/>
    <w:rsid w:val="00216121"/>
    <w:rsid w:val="00217FB8"/>
    <w:rsid w:val="00221119"/>
    <w:rsid w:val="00221311"/>
    <w:rsid w:val="00221953"/>
    <w:rsid w:val="002307F0"/>
    <w:rsid w:val="00230C8B"/>
    <w:rsid w:val="00234A80"/>
    <w:rsid w:val="00241D96"/>
    <w:rsid w:val="002521A1"/>
    <w:rsid w:val="002615E2"/>
    <w:rsid w:val="00261E7F"/>
    <w:rsid w:val="002633BB"/>
    <w:rsid w:val="0026509F"/>
    <w:rsid w:val="00266BE4"/>
    <w:rsid w:val="00266C81"/>
    <w:rsid w:val="00270DC0"/>
    <w:rsid w:val="00272DF3"/>
    <w:rsid w:val="002803F1"/>
    <w:rsid w:val="00280DA2"/>
    <w:rsid w:val="00280E40"/>
    <w:rsid w:val="00281FA8"/>
    <w:rsid w:val="0028259F"/>
    <w:rsid w:val="002847CF"/>
    <w:rsid w:val="00291819"/>
    <w:rsid w:val="00291CAC"/>
    <w:rsid w:val="00292F37"/>
    <w:rsid w:val="00294B75"/>
    <w:rsid w:val="002B03F5"/>
    <w:rsid w:val="002B1124"/>
    <w:rsid w:val="002B4BB3"/>
    <w:rsid w:val="002B559E"/>
    <w:rsid w:val="002B5B19"/>
    <w:rsid w:val="002B60A0"/>
    <w:rsid w:val="002B6B6F"/>
    <w:rsid w:val="002C30E5"/>
    <w:rsid w:val="002C3713"/>
    <w:rsid w:val="002D0470"/>
    <w:rsid w:val="002D20F2"/>
    <w:rsid w:val="002D5439"/>
    <w:rsid w:val="002E1290"/>
    <w:rsid w:val="002E420C"/>
    <w:rsid w:val="002E44F2"/>
    <w:rsid w:val="002E510B"/>
    <w:rsid w:val="002E5D48"/>
    <w:rsid w:val="002F2B39"/>
    <w:rsid w:val="002F5B1C"/>
    <w:rsid w:val="002F748A"/>
    <w:rsid w:val="0030139A"/>
    <w:rsid w:val="00303698"/>
    <w:rsid w:val="00303C16"/>
    <w:rsid w:val="00306F61"/>
    <w:rsid w:val="003114FF"/>
    <w:rsid w:val="00315313"/>
    <w:rsid w:val="00317E7F"/>
    <w:rsid w:val="00324994"/>
    <w:rsid w:val="00324BC2"/>
    <w:rsid w:val="00325C18"/>
    <w:rsid w:val="003270FB"/>
    <w:rsid w:val="00340A82"/>
    <w:rsid w:val="003416C2"/>
    <w:rsid w:val="00343812"/>
    <w:rsid w:val="0034507C"/>
    <w:rsid w:val="003506A9"/>
    <w:rsid w:val="00350D0D"/>
    <w:rsid w:val="00351229"/>
    <w:rsid w:val="00356015"/>
    <w:rsid w:val="00356D1C"/>
    <w:rsid w:val="00360670"/>
    <w:rsid w:val="00361388"/>
    <w:rsid w:val="0036161A"/>
    <w:rsid w:val="00361AE8"/>
    <w:rsid w:val="003663C4"/>
    <w:rsid w:val="00367142"/>
    <w:rsid w:val="00374586"/>
    <w:rsid w:val="0038451F"/>
    <w:rsid w:val="003855F8"/>
    <w:rsid w:val="00396ED3"/>
    <w:rsid w:val="003A0636"/>
    <w:rsid w:val="003B2F35"/>
    <w:rsid w:val="003B553A"/>
    <w:rsid w:val="003C23C6"/>
    <w:rsid w:val="003C35DC"/>
    <w:rsid w:val="003C475C"/>
    <w:rsid w:val="003C5AE2"/>
    <w:rsid w:val="003D12C9"/>
    <w:rsid w:val="003D3872"/>
    <w:rsid w:val="003D3E58"/>
    <w:rsid w:val="003D4759"/>
    <w:rsid w:val="003E25D6"/>
    <w:rsid w:val="003F3040"/>
    <w:rsid w:val="003F5636"/>
    <w:rsid w:val="0040323C"/>
    <w:rsid w:val="00411204"/>
    <w:rsid w:val="00411407"/>
    <w:rsid w:val="00413984"/>
    <w:rsid w:val="00416D60"/>
    <w:rsid w:val="00422335"/>
    <w:rsid w:val="004224D8"/>
    <w:rsid w:val="00423B51"/>
    <w:rsid w:val="0042662F"/>
    <w:rsid w:val="00427579"/>
    <w:rsid w:val="004348DD"/>
    <w:rsid w:val="0043659D"/>
    <w:rsid w:val="00437C3A"/>
    <w:rsid w:val="00445FB2"/>
    <w:rsid w:val="004464D0"/>
    <w:rsid w:val="00446A24"/>
    <w:rsid w:val="004536E6"/>
    <w:rsid w:val="004539B7"/>
    <w:rsid w:val="00461F38"/>
    <w:rsid w:val="00463D6F"/>
    <w:rsid w:val="0046616E"/>
    <w:rsid w:val="00482786"/>
    <w:rsid w:val="00487B2A"/>
    <w:rsid w:val="00491345"/>
    <w:rsid w:val="004921AD"/>
    <w:rsid w:val="00494FAE"/>
    <w:rsid w:val="00495F43"/>
    <w:rsid w:val="004966DE"/>
    <w:rsid w:val="00497D59"/>
    <w:rsid w:val="004A2EFF"/>
    <w:rsid w:val="004A3261"/>
    <w:rsid w:val="004A33D7"/>
    <w:rsid w:val="004A4138"/>
    <w:rsid w:val="004A4E97"/>
    <w:rsid w:val="004A7791"/>
    <w:rsid w:val="004B16E0"/>
    <w:rsid w:val="004B20B9"/>
    <w:rsid w:val="004B534A"/>
    <w:rsid w:val="004C350C"/>
    <w:rsid w:val="004C6AC1"/>
    <w:rsid w:val="004D07C1"/>
    <w:rsid w:val="004D1329"/>
    <w:rsid w:val="004D34A9"/>
    <w:rsid w:val="004D444F"/>
    <w:rsid w:val="004E4750"/>
    <w:rsid w:val="004E4942"/>
    <w:rsid w:val="004E4DF2"/>
    <w:rsid w:val="004E772D"/>
    <w:rsid w:val="004F4668"/>
    <w:rsid w:val="004F6015"/>
    <w:rsid w:val="005034B2"/>
    <w:rsid w:val="0050468A"/>
    <w:rsid w:val="00507407"/>
    <w:rsid w:val="00512C02"/>
    <w:rsid w:val="0051547F"/>
    <w:rsid w:val="00517833"/>
    <w:rsid w:val="005233DA"/>
    <w:rsid w:val="00523ACC"/>
    <w:rsid w:val="00530843"/>
    <w:rsid w:val="00531228"/>
    <w:rsid w:val="00540AC8"/>
    <w:rsid w:val="00544D5F"/>
    <w:rsid w:val="00546BE3"/>
    <w:rsid w:val="00547E3A"/>
    <w:rsid w:val="00553C91"/>
    <w:rsid w:val="005611D7"/>
    <w:rsid w:val="00562D59"/>
    <w:rsid w:val="0056652D"/>
    <w:rsid w:val="00566DD5"/>
    <w:rsid w:val="005701C8"/>
    <w:rsid w:val="00572E75"/>
    <w:rsid w:val="00572EC5"/>
    <w:rsid w:val="005816B0"/>
    <w:rsid w:val="005853D0"/>
    <w:rsid w:val="005903D9"/>
    <w:rsid w:val="00593BAF"/>
    <w:rsid w:val="00595ED8"/>
    <w:rsid w:val="00597537"/>
    <w:rsid w:val="005A47F7"/>
    <w:rsid w:val="005A775B"/>
    <w:rsid w:val="005B14E3"/>
    <w:rsid w:val="005B1A3B"/>
    <w:rsid w:val="005B1C74"/>
    <w:rsid w:val="005B4AF7"/>
    <w:rsid w:val="005B4D78"/>
    <w:rsid w:val="005D2DF9"/>
    <w:rsid w:val="005D4211"/>
    <w:rsid w:val="005E124E"/>
    <w:rsid w:val="005E1E65"/>
    <w:rsid w:val="005E4D05"/>
    <w:rsid w:val="005E6154"/>
    <w:rsid w:val="005F11F3"/>
    <w:rsid w:val="005F2F9D"/>
    <w:rsid w:val="005F4B77"/>
    <w:rsid w:val="005F5C53"/>
    <w:rsid w:val="005F6B87"/>
    <w:rsid w:val="005F6FFA"/>
    <w:rsid w:val="006006EB"/>
    <w:rsid w:val="00601AD4"/>
    <w:rsid w:val="00603000"/>
    <w:rsid w:val="00603677"/>
    <w:rsid w:val="0060644D"/>
    <w:rsid w:val="006116C5"/>
    <w:rsid w:val="00615D97"/>
    <w:rsid w:val="00620342"/>
    <w:rsid w:val="00620B40"/>
    <w:rsid w:val="00621359"/>
    <w:rsid w:val="00621824"/>
    <w:rsid w:val="00624FC6"/>
    <w:rsid w:val="00627E38"/>
    <w:rsid w:val="006316E2"/>
    <w:rsid w:val="00634B8D"/>
    <w:rsid w:val="00634C66"/>
    <w:rsid w:val="006431F6"/>
    <w:rsid w:val="00644681"/>
    <w:rsid w:val="0064640E"/>
    <w:rsid w:val="00646BEE"/>
    <w:rsid w:val="00647090"/>
    <w:rsid w:val="00650D96"/>
    <w:rsid w:val="006558B0"/>
    <w:rsid w:val="00660A86"/>
    <w:rsid w:val="00660DA3"/>
    <w:rsid w:val="006622EC"/>
    <w:rsid w:val="00664155"/>
    <w:rsid w:val="006648B1"/>
    <w:rsid w:val="0066507D"/>
    <w:rsid w:val="00665157"/>
    <w:rsid w:val="00670117"/>
    <w:rsid w:val="00670CE2"/>
    <w:rsid w:val="00670F8C"/>
    <w:rsid w:val="0067191A"/>
    <w:rsid w:val="0067372F"/>
    <w:rsid w:val="006738F3"/>
    <w:rsid w:val="006763F1"/>
    <w:rsid w:val="00676DDA"/>
    <w:rsid w:val="00682CAA"/>
    <w:rsid w:val="00682D8D"/>
    <w:rsid w:val="00690DA5"/>
    <w:rsid w:val="00690F5A"/>
    <w:rsid w:val="00694D0A"/>
    <w:rsid w:val="006A105C"/>
    <w:rsid w:val="006A20FA"/>
    <w:rsid w:val="006A3455"/>
    <w:rsid w:val="006A479D"/>
    <w:rsid w:val="006B0FDB"/>
    <w:rsid w:val="006B1BC7"/>
    <w:rsid w:val="006B29E7"/>
    <w:rsid w:val="006B35D8"/>
    <w:rsid w:val="006B3D10"/>
    <w:rsid w:val="006B4531"/>
    <w:rsid w:val="006B608A"/>
    <w:rsid w:val="006B66EC"/>
    <w:rsid w:val="006C13DB"/>
    <w:rsid w:val="006C21F5"/>
    <w:rsid w:val="006C2F49"/>
    <w:rsid w:val="006C4519"/>
    <w:rsid w:val="006C52D5"/>
    <w:rsid w:val="006D0DCC"/>
    <w:rsid w:val="006D62EC"/>
    <w:rsid w:val="006E1960"/>
    <w:rsid w:val="006E2F24"/>
    <w:rsid w:val="006E6706"/>
    <w:rsid w:val="006E6794"/>
    <w:rsid w:val="006E7C3A"/>
    <w:rsid w:val="006F098B"/>
    <w:rsid w:val="006F3130"/>
    <w:rsid w:val="00702E0A"/>
    <w:rsid w:val="00707A39"/>
    <w:rsid w:val="0071176B"/>
    <w:rsid w:val="00712EEA"/>
    <w:rsid w:val="00720B34"/>
    <w:rsid w:val="0072370B"/>
    <w:rsid w:val="00723733"/>
    <w:rsid w:val="007244F5"/>
    <w:rsid w:val="00724C82"/>
    <w:rsid w:val="00725510"/>
    <w:rsid w:val="007318B2"/>
    <w:rsid w:val="00733237"/>
    <w:rsid w:val="00735EF2"/>
    <w:rsid w:val="007466DA"/>
    <w:rsid w:val="00747566"/>
    <w:rsid w:val="00747C3B"/>
    <w:rsid w:val="007576B8"/>
    <w:rsid w:val="007617CA"/>
    <w:rsid w:val="0076233A"/>
    <w:rsid w:val="0076340C"/>
    <w:rsid w:val="007648E4"/>
    <w:rsid w:val="00764E65"/>
    <w:rsid w:val="00765E51"/>
    <w:rsid w:val="007670D7"/>
    <w:rsid w:val="007675F0"/>
    <w:rsid w:val="00774AE4"/>
    <w:rsid w:val="00774BC1"/>
    <w:rsid w:val="007817EA"/>
    <w:rsid w:val="00784CF7"/>
    <w:rsid w:val="00785352"/>
    <w:rsid w:val="00786388"/>
    <w:rsid w:val="007917FD"/>
    <w:rsid w:val="00793123"/>
    <w:rsid w:val="00797FEA"/>
    <w:rsid w:val="007A3CE5"/>
    <w:rsid w:val="007A452D"/>
    <w:rsid w:val="007A7C2F"/>
    <w:rsid w:val="007B1487"/>
    <w:rsid w:val="007B75AA"/>
    <w:rsid w:val="007C469E"/>
    <w:rsid w:val="007C64DE"/>
    <w:rsid w:val="007C74DD"/>
    <w:rsid w:val="007D0F33"/>
    <w:rsid w:val="007D3346"/>
    <w:rsid w:val="007D41B1"/>
    <w:rsid w:val="007D628E"/>
    <w:rsid w:val="007E150E"/>
    <w:rsid w:val="007E419A"/>
    <w:rsid w:val="007E594F"/>
    <w:rsid w:val="007E76BA"/>
    <w:rsid w:val="007E7736"/>
    <w:rsid w:val="007F3EA6"/>
    <w:rsid w:val="007F5FAB"/>
    <w:rsid w:val="007F697F"/>
    <w:rsid w:val="00800F7F"/>
    <w:rsid w:val="00801232"/>
    <w:rsid w:val="00802655"/>
    <w:rsid w:val="00807103"/>
    <w:rsid w:val="008105CB"/>
    <w:rsid w:val="0081507B"/>
    <w:rsid w:val="00816934"/>
    <w:rsid w:val="008309EE"/>
    <w:rsid w:val="0083691D"/>
    <w:rsid w:val="0084040B"/>
    <w:rsid w:val="008408FA"/>
    <w:rsid w:val="00845EF4"/>
    <w:rsid w:val="00847124"/>
    <w:rsid w:val="00855F5D"/>
    <w:rsid w:val="00857672"/>
    <w:rsid w:val="00865709"/>
    <w:rsid w:val="00867CE3"/>
    <w:rsid w:val="00890814"/>
    <w:rsid w:val="00891A2C"/>
    <w:rsid w:val="00894559"/>
    <w:rsid w:val="008A20EB"/>
    <w:rsid w:val="008A2218"/>
    <w:rsid w:val="008A596C"/>
    <w:rsid w:val="008A68AE"/>
    <w:rsid w:val="008A6EE3"/>
    <w:rsid w:val="008A77A3"/>
    <w:rsid w:val="008B6E73"/>
    <w:rsid w:val="008C0424"/>
    <w:rsid w:val="008C1436"/>
    <w:rsid w:val="008C1706"/>
    <w:rsid w:val="008C3594"/>
    <w:rsid w:val="008C3E69"/>
    <w:rsid w:val="008C6460"/>
    <w:rsid w:val="008D0E34"/>
    <w:rsid w:val="008D1BD7"/>
    <w:rsid w:val="008D2D1A"/>
    <w:rsid w:val="008D518B"/>
    <w:rsid w:val="008D6CC1"/>
    <w:rsid w:val="008D78EB"/>
    <w:rsid w:val="008E42E7"/>
    <w:rsid w:val="008E518F"/>
    <w:rsid w:val="008F7003"/>
    <w:rsid w:val="008F7246"/>
    <w:rsid w:val="00900CF2"/>
    <w:rsid w:val="00900F1D"/>
    <w:rsid w:val="00910628"/>
    <w:rsid w:val="00913B72"/>
    <w:rsid w:val="00914689"/>
    <w:rsid w:val="009150BB"/>
    <w:rsid w:val="0091650E"/>
    <w:rsid w:val="00920850"/>
    <w:rsid w:val="009231B1"/>
    <w:rsid w:val="009232EE"/>
    <w:rsid w:val="0092421B"/>
    <w:rsid w:val="0092542C"/>
    <w:rsid w:val="009300B3"/>
    <w:rsid w:val="00930CC6"/>
    <w:rsid w:val="009315FC"/>
    <w:rsid w:val="00935020"/>
    <w:rsid w:val="009379A5"/>
    <w:rsid w:val="00944236"/>
    <w:rsid w:val="00944C1E"/>
    <w:rsid w:val="0095292F"/>
    <w:rsid w:val="00952ED2"/>
    <w:rsid w:val="009562A9"/>
    <w:rsid w:val="009562CB"/>
    <w:rsid w:val="0096074A"/>
    <w:rsid w:val="009652FB"/>
    <w:rsid w:val="009724F5"/>
    <w:rsid w:val="0097262E"/>
    <w:rsid w:val="009740E6"/>
    <w:rsid w:val="009833B7"/>
    <w:rsid w:val="00987165"/>
    <w:rsid w:val="00992E3A"/>
    <w:rsid w:val="00992F33"/>
    <w:rsid w:val="009933E4"/>
    <w:rsid w:val="009961A7"/>
    <w:rsid w:val="009A414C"/>
    <w:rsid w:val="009A6F2B"/>
    <w:rsid w:val="009A7963"/>
    <w:rsid w:val="009B29ED"/>
    <w:rsid w:val="009B4742"/>
    <w:rsid w:val="009B703F"/>
    <w:rsid w:val="009C1674"/>
    <w:rsid w:val="009C191F"/>
    <w:rsid w:val="009C31E8"/>
    <w:rsid w:val="009D2DBD"/>
    <w:rsid w:val="009D441D"/>
    <w:rsid w:val="009D502B"/>
    <w:rsid w:val="009D65BF"/>
    <w:rsid w:val="009D669C"/>
    <w:rsid w:val="009D72FF"/>
    <w:rsid w:val="009E418F"/>
    <w:rsid w:val="009E7D8C"/>
    <w:rsid w:val="009F38A2"/>
    <w:rsid w:val="009F5D69"/>
    <w:rsid w:val="00A01BE4"/>
    <w:rsid w:val="00A13372"/>
    <w:rsid w:val="00A13EF8"/>
    <w:rsid w:val="00A1400A"/>
    <w:rsid w:val="00A143F4"/>
    <w:rsid w:val="00A15205"/>
    <w:rsid w:val="00A16393"/>
    <w:rsid w:val="00A17BE4"/>
    <w:rsid w:val="00A2007D"/>
    <w:rsid w:val="00A257E4"/>
    <w:rsid w:val="00A308FA"/>
    <w:rsid w:val="00A334D1"/>
    <w:rsid w:val="00A358F8"/>
    <w:rsid w:val="00A37744"/>
    <w:rsid w:val="00A4672F"/>
    <w:rsid w:val="00A56DA0"/>
    <w:rsid w:val="00A605A5"/>
    <w:rsid w:val="00A61BE7"/>
    <w:rsid w:val="00A61BED"/>
    <w:rsid w:val="00A66166"/>
    <w:rsid w:val="00A6622D"/>
    <w:rsid w:val="00A66D8F"/>
    <w:rsid w:val="00A72A89"/>
    <w:rsid w:val="00A72BF1"/>
    <w:rsid w:val="00A74FA8"/>
    <w:rsid w:val="00A77948"/>
    <w:rsid w:val="00A802C6"/>
    <w:rsid w:val="00A92F44"/>
    <w:rsid w:val="00A93AAE"/>
    <w:rsid w:val="00A979D7"/>
    <w:rsid w:val="00AA007D"/>
    <w:rsid w:val="00AA0D9B"/>
    <w:rsid w:val="00AA2B20"/>
    <w:rsid w:val="00AA3493"/>
    <w:rsid w:val="00AB0497"/>
    <w:rsid w:val="00AB3194"/>
    <w:rsid w:val="00AB3DE3"/>
    <w:rsid w:val="00AB6F6D"/>
    <w:rsid w:val="00AC254E"/>
    <w:rsid w:val="00AC3B5F"/>
    <w:rsid w:val="00AD1107"/>
    <w:rsid w:val="00AD2339"/>
    <w:rsid w:val="00AD2354"/>
    <w:rsid w:val="00AD41F6"/>
    <w:rsid w:val="00AD4CC9"/>
    <w:rsid w:val="00AD609A"/>
    <w:rsid w:val="00AE2D6F"/>
    <w:rsid w:val="00AE4414"/>
    <w:rsid w:val="00AF5B38"/>
    <w:rsid w:val="00B0234A"/>
    <w:rsid w:val="00B027B6"/>
    <w:rsid w:val="00B03252"/>
    <w:rsid w:val="00B050EA"/>
    <w:rsid w:val="00B05C28"/>
    <w:rsid w:val="00B15846"/>
    <w:rsid w:val="00B166B6"/>
    <w:rsid w:val="00B21FFB"/>
    <w:rsid w:val="00B243E9"/>
    <w:rsid w:val="00B251C7"/>
    <w:rsid w:val="00B268A7"/>
    <w:rsid w:val="00B271FD"/>
    <w:rsid w:val="00B2724E"/>
    <w:rsid w:val="00B27F94"/>
    <w:rsid w:val="00B30D87"/>
    <w:rsid w:val="00B319E0"/>
    <w:rsid w:val="00B3270C"/>
    <w:rsid w:val="00B32AB4"/>
    <w:rsid w:val="00B340BF"/>
    <w:rsid w:val="00B34CE0"/>
    <w:rsid w:val="00B34F09"/>
    <w:rsid w:val="00B35F3C"/>
    <w:rsid w:val="00B3607D"/>
    <w:rsid w:val="00B3674A"/>
    <w:rsid w:val="00B426AF"/>
    <w:rsid w:val="00B44168"/>
    <w:rsid w:val="00B5082D"/>
    <w:rsid w:val="00B57CA3"/>
    <w:rsid w:val="00B60756"/>
    <w:rsid w:val="00B60EAB"/>
    <w:rsid w:val="00B636FA"/>
    <w:rsid w:val="00B63D5B"/>
    <w:rsid w:val="00B67319"/>
    <w:rsid w:val="00B7083A"/>
    <w:rsid w:val="00B7116B"/>
    <w:rsid w:val="00B72DF1"/>
    <w:rsid w:val="00B76F13"/>
    <w:rsid w:val="00B828F8"/>
    <w:rsid w:val="00B8475A"/>
    <w:rsid w:val="00B848B8"/>
    <w:rsid w:val="00B868BE"/>
    <w:rsid w:val="00B90ED5"/>
    <w:rsid w:val="00B922A4"/>
    <w:rsid w:val="00B9364A"/>
    <w:rsid w:val="00B947CF"/>
    <w:rsid w:val="00B96BB1"/>
    <w:rsid w:val="00BA55C7"/>
    <w:rsid w:val="00BA65A8"/>
    <w:rsid w:val="00BA6891"/>
    <w:rsid w:val="00BA7FFD"/>
    <w:rsid w:val="00BB162F"/>
    <w:rsid w:val="00BB455F"/>
    <w:rsid w:val="00BB5904"/>
    <w:rsid w:val="00BC1E01"/>
    <w:rsid w:val="00BC275C"/>
    <w:rsid w:val="00BC3011"/>
    <w:rsid w:val="00BC428D"/>
    <w:rsid w:val="00BC5407"/>
    <w:rsid w:val="00BC6875"/>
    <w:rsid w:val="00BD2EBF"/>
    <w:rsid w:val="00BE0500"/>
    <w:rsid w:val="00BE0E80"/>
    <w:rsid w:val="00BE2254"/>
    <w:rsid w:val="00BE5702"/>
    <w:rsid w:val="00BE7342"/>
    <w:rsid w:val="00BF0604"/>
    <w:rsid w:val="00BF1943"/>
    <w:rsid w:val="00BF29EE"/>
    <w:rsid w:val="00BF5BF5"/>
    <w:rsid w:val="00BF6FCA"/>
    <w:rsid w:val="00C0002A"/>
    <w:rsid w:val="00C03945"/>
    <w:rsid w:val="00C03CCC"/>
    <w:rsid w:val="00C04A17"/>
    <w:rsid w:val="00C07B11"/>
    <w:rsid w:val="00C07D4A"/>
    <w:rsid w:val="00C10BFB"/>
    <w:rsid w:val="00C11514"/>
    <w:rsid w:val="00C146D9"/>
    <w:rsid w:val="00C155E9"/>
    <w:rsid w:val="00C16C96"/>
    <w:rsid w:val="00C22561"/>
    <w:rsid w:val="00C2284E"/>
    <w:rsid w:val="00C2446D"/>
    <w:rsid w:val="00C26A16"/>
    <w:rsid w:val="00C26EFE"/>
    <w:rsid w:val="00C3078B"/>
    <w:rsid w:val="00C35E23"/>
    <w:rsid w:val="00C41BD7"/>
    <w:rsid w:val="00C45DBF"/>
    <w:rsid w:val="00C469B4"/>
    <w:rsid w:val="00C54B56"/>
    <w:rsid w:val="00C612B5"/>
    <w:rsid w:val="00C64468"/>
    <w:rsid w:val="00C65160"/>
    <w:rsid w:val="00C6560F"/>
    <w:rsid w:val="00C73458"/>
    <w:rsid w:val="00C75CAD"/>
    <w:rsid w:val="00C77BE7"/>
    <w:rsid w:val="00C80925"/>
    <w:rsid w:val="00C840B3"/>
    <w:rsid w:val="00C84CB9"/>
    <w:rsid w:val="00C8502B"/>
    <w:rsid w:val="00C851F9"/>
    <w:rsid w:val="00C9106B"/>
    <w:rsid w:val="00C92051"/>
    <w:rsid w:val="00C93548"/>
    <w:rsid w:val="00CA0452"/>
    <w:rsid w:val="00CA2B83"/>
    <w:rsid w:val="00CA457F"/>
    <w:rsid w:val="00CA45A1"/>
    <w:rsid w:val="00CB210F"/>
    <w:rsid w:val="00CB2765"/>
    <w:rsid w:val="00CB6463"/>
    <w:rsid w:val="00CC02F3"/>
    <w:rsid w:val="00CC098E"/>
    <w:rsid w:val="00CC2F4F"/>
    <w:rsid w:val="00CC6B04"/>
    <w:rsid w:val="00CD7B64"/>
    <w:rsid w:val="00CE0426"/>
    <w:rsid w:val="00CE29B9"/>
    <w:rsid w:val="00CE3330"/>
    <w:rsid w:val="00CE4672"/>
    <w:rsid w:val="00CE4CE6"/>
    <w:rsid w:val="00CF0448"/>
    <w:rsid w:val="00CF0856"/>
    <w:rsid w:val="00CF1F1F"/>
    <w:rsid w:val="00CF79A9"/>
    <w:rsid w:val="00D0334E"/>
    <w:rsid w:val="00D05529"/>
    <w:rsid w:val="00D07B37"/>
    <w:rsid w:val="00D2065B"/>
    <w:rsid w:val="00D25F64"/>
    <w:rsid w:val="00D26330"/>
    <w:rsid w:val="00D27553"/>
    <w:rsid w:val="00D31FE6"/>
    <w:rsid w:val="00D34281"/>
    <w:rsid w:val="00D3456C"/>
    <w:rsid w:val="00D363BC"/>
    <w:rsid w:val="00D37DD7"/>
    <w:rsid w:val="00D45213"/>
    <w:rsid w:val="00D53690"/>
    <w:rsid w:val="00D545C4"/>
    <w:rsid w:val="00D626A7"/>
    <w:rsid w:val="00D65C7E"/>
    <w:rsid w:val="00D70A89"/>
    <w:rsid w:val="00D70DB1"/>
    <w:rsid w:val="00D71384"/>
    <w:rsid w:val="00D71955"/>
    <w:rsid w:val="00D72473"/>
    <w:rsid w:val="00D72B30"/>
    <w:rsid w:val="00D810E2"/>
    <w:rsid w:val="00D83076"/>
    <w:rsid w:val="00D8453B"/>
    <w:rsid w:val="00DA0B65"/>
    <w:rsid w:val="00DA3990"/>
    <w:rsid w:val="00DA5005"/>
    <w:rsid w:val="00DA768D"/>
    <w:rsid w:val="00DB0A1E"/>
    <w:rsid w:val="00DB5A25"/>
    <w:rsid w:val="00DC68A5"/>
    <w:rsid w:val="00DC7D65"/>
    <w:rsid w:val="00DC7E32"/>
    <w:rsid w:val="00DD1200"/>
    <w:rsid w:val="00DD3284"/>
    <w:rsid w:val="00DD6696"/>
    <w:rsid w:val="00DD6CF3"/>
    <w:rsid w:val="00DE0BEE"/>
    <w:rsid w:val="00DE16A0"/>
    <w:rsid w:val="00DE626D"/>
    <w:rsid w:val="00DF147A"/>
    <w:rsid w:val="00DF5374"/>
    <w:rsid w:val="00DF5505"/>
    <w:rsid w:val="00DF670C"/>
    <w:rsid w:val="00E037A3"/>
    <w:rsid w:val="00E03B61"/>
    <w:rsid w:val="00E05752"/>
    <w:rsid w:val="00E06DBF"/>
    <w:rsid w:val="00E12D59"/>
    <w:rsid w:val="00E13746"/>
    <w:rsid w:val="00E15A9C"/>
    <w:rsid w:val="00E16370"/>
    <w:rsid w:val="00E22A80"/>
    <w:rsid w:val="00E3183D"/>
    <w:rsid w:val="00E3398B"/>
    <w:rsid w:val="00E3440B"/>
    <w:rsid w:val="00E34C08"/>
    <w:rsid w:val="00E37516"/>
    <w:rsid w:val="00E4533E"/>
    <w:rsid w:val="00E4540B"/>
    <w:rsid w:val="00E454D2"/>
    <w:rsid w:val="00E46B8C"/>
    <w:rsid w:val="00E5017D"/>
    <w:rsid w:val="00E50901"/>
    <w:rsid w:val="00E50C73"/>
    <w:rsid w:val="00E51403"/>
    <w:rsid w:val="00E56472"/>
    <w:rsid w:val="00E60378"/>
    <w:rsid w:val="00E61056"/>
    <w:rsid w:val="00E61D82"/>
    <w:rsid w:val="00E71939"/>
    <w:rsid w:val="00E83DFE"/>
    <w:rsid w:val="00E90994"/>
    <w:rsid w:val="00E928AE"/>
    <w:rsid w:val="00E967EA"/>
    <w:rsid w:val="00E96F0A"/>
    <w:rsid w:val="00EA34C6"/>
    <w:rsid w:val="00EA622D"/>
    <w:rsid w:val="00EA70B5"/>
    <w:rsid w:val="00EB08DF"/>
    <w:rsid w:val="00EB1A52"/>
    <w:rsid w:val="00EB1B43"/>
    <w:rsid w:val="00EB341E"/>
    <w:rsid w:val="00EB4C69"/>
    <w:rsid w:val="00EB4F2F"/>
    <w:rsid w:val="00EC2711"/>
    <w:rsid w:val="00EC3DF6"/>
    <w:rsid w:val="00ED3117"/>
    <w:rsid w:val="00ED3729"/>
    <w:rsid w:val="00EE39C1"/>
    <w:rsid w:val="00EF23BC"/>
    <w:rsid w:val="00EF6121"/>
    <w:rsid w:val="00F0183D"/>
    <w:rsid w:val="00F04945"/>
    <w:rsid w:val="00F05707"/>
    <w:rsid w:val="00F06C7C"/>
    <w:rsid w:val="00F130CB"/>
    <w:rsid w:val="00F138BD"/>
    <w:rsid w:val="00F1670E"/>
    <w:rsid w:val="00F17C33"/>
    <w:rsid w:val="00F17CFF"/>
    <w:rsid w:val="00F215D4"/>
    <w:rsid w:val="00F236E7"/>
    <w:rsid w:val="00F24C15"/>
    <w:rsid w:val="00F26B97"/>
    <w:rsid w:val="00F365ED"/>
    <w:rsid w:val="00F44164"/>
    <w:rsid w:val="00F50075"/>
    <w:rsid w:val="00F509F8"/>
    <w:rsid w:val="00F518A2"/>
    <w:rsid w:val="00F5312B"/>
    <w:rsid w:val="00F54A08"/>
    <w:rsid w:val="00F54DCF"/>
    <w:rsid w:val="00F614EE"/>
    <w:rsid w:val="00F6156A"/>
    <w:rsid w:val="00F635F7"/>
    <w:rsid w:val="00F66127"/>
    <w:rsid w:val="00F67A20"/>
    <w:rsid w:val="00F71D8C"/>
    <w:rsid w:val="00F72C1A"/>
    <w:rsid w:val="00F808B9"/>
    <w:rsid w:val="00F8201F"/>
    <w:rsid w:val="00F8686B"/>
    <w:rsid w:val="00F90218"/>
    <w:rsid w:val="00F932FB"/>
    <w:rsid w:val="00F94CAC"/>
    <w:rsid w:val="00F9608A"/>
    <w:rsid w:val="00FA2BA4"/>
    <w:rsid w:val="00FA38AD"/>
    <w:rsid w:val="00FA680B"/>
    <w:rsid w:val="00FC43C0"/>
    <w:rsid w:val="00FD4778"/>
    <w:rsid w:val="00FE112A"/>
    <w:rsid w:val="00FE3515"/>
    <w:rsid w:val="00FE7638"/>
    <w:rsid w:val="00FF03FE"/>
    <w:rsid w:val="00FF271F"/>
    <w:rsid w:val="00FF5E21"/>
    <w:rsid w:val="00FF62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5A"/>
    <w:pPr>
      <w:suppressAutoHyphens/>
      <w:spacing w:after="200" w:line="276" w:lineRule="auto"/>
    </w:pPr>
    <w:rPr>
      <w:rFonts w:eastAsia="Times New Roman" w:cs="Calibri"/>
      <w:sz w:val="22"/>
      <w:szCs w:val="22"/>
      <w:lang w:eastAsia="zh-CN"/>
    </w:rPr>
  </w:style>
  <w:style w:type="paragraph" w:styleId="1">
    <w:name w:val="heading 1"/>
    <w:basedOn w:val="a"/>
    <w:next w:val="a"/>
    <w:link w:val="10"/>
    <w:uiPriority w:val="9"/>
    <w:qFormat/>
    <w:rsid w:val="00217FB8"/>
    <w:pPr>
      <w:keepNext/>
      <w:spacing w:before="240" w:after="60"/>
      <w:outlineLvl w:val="0"/>
    </w:pPr>
    <w:rPr>
      <w:rFonts w:ascii="Cambria" w:hAnsi="Cambria" w:cs="Times New Roman"/>
      <w:b/>
      <w:bCs/>
      <w:kern w:val="32"/>
      <w:sz w:val="32"/>
      <w:szCs w:val="32"/>
    </w:rPr>
  </w:style>
  <w:style w:type="paragraph" w:styleId="3">
    <w:name w:val="heading 3"/>
    <w:basedOn w:val="a"/>
    <w:next w:val="a"/>
    <w:link w:val="30"/>
    <w:uiPriority w:val="9"/>
    <w:semiHidden/>
    <w:unhideWhenUsed/>
    <w:qFormat/>
    <w:rsid w:val="005A775B"/>
    <w:pPr>
      <w:keepNext/>
      <w:spacing w:before="240" w:after="60"/>
      <w:outlineLvl w:val="2"/>
    </w:pPr>
    <w:rPr>
      <w:rFonts w:ascii="Cambria" w:hAnsi="Cambria" w:cs="Times New Roman"/>
      <w:b/>
      <w:bCs/>
      <w:sz w:val="26"/>
      <w:szCs w:val="26"/>
    </w:rPr>
  </w:style>
  <w:style w:type="paragraph" w:styleId="6">
    <w:name w:val="heading 6"/>
    <w:basedOn w:val="a"/>
    <w:next w:val="a"/>
    <w:link w:val="60"/>
    <w:uiPriority w:val="99"/>
    <w:qFormat/>
    <w:rsid w:val="00707A39"/>
    <w:pPr>
      <w:keepNext/>
      <w:suppressAutoHyphens w:val="0"/>
      <w:spacing w:after="0" w:line="240" w:lineRule="auto"/>
      <w:jc w:val="center"/>
      <w:outlineLvl w:val="5"/>
    </w:pPr>
    <w:rPr>
      <w:rFonts w:ascii="Times New Roman" w:eastAsia="Arial Unicode MS" w:hAnsi="Times New Roman" w:cs="Times New Roman"/>
      <w:b/>
      <w:bCs/>
      <w:spacing w:val="2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6A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06AC7"/>
  </w:style>
  <w:style w:type="paragraph" w:styleId="a5">
    <w:name w:val="footer"/>
    <w:basedOn w:val="a"/>
    <w:link w:val="a6"/>
    <w:unhideWhenUsed/>
    <w:rsid w:val="00106AC7"/>
    <w:pPr>
      <w:tabs>
        <w:tab w:val="center" w:pos="4677"/>
        <w:tab w:val="right" w:pos="9355"/>
      </w:tabs>
      <w:spacing w:after="0" w:line="240" w:lineRule="auto"/>
    </w:pPr>
  </w:style>
  <w:style w:type="character" w:customStyle="1" w:styleId="a6">
    <w:name w:val="Нижний колонтитул Знак"/>
    <w:basedOn w:val="a0"/>
    <w:link w:val="a5"/>
    <w:rsid w:val="00106AC7"/>
  </w:style>
  <w:style w:type="paragraph" w:styleId="a7">
    <w:name w:val="Balloon Text"/>
    <w:basedOn w:val="a"/>
    <w:link w:val="a8"/>
    <w:uiPriority w:val="99"/>
    <w:semiHidden/>
    <w:unhideWhenUsed/>
    <w:rsid w:val="00106AC7"/>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106AC7"/>
    <w:rPr>
      <w:rFonts w:ascii="Tahoma" w:hAnsi="Tahoma" w:cs="Tahoma"/>
      <w:sz w:val="16"/>
      <w:szCs w:val="16"/>
    </w:rPr>
  </w:style>
  <w:style w:type="paragraph" w:customStyle="1" w:styleId="22">
    <w:name w:val="Основной текст с отступом 22"/>
    <w:basedOn w:val="a"/>
    <w:rsid w:val="00024DDF"/>
    <w:pPr>
      <w:spacing w:after="0" w:line="240" w:lineRule="auto"/>
      <w:ind w:firstLine="1134"/>
      <w:jc w:val="center"/>
    </w:pPr>
    <w:rPr>
      <w:rFonts w:ascii="Times New Roman" w:hAnsi="Times New Roman" w:cs="Times New Roman"/>
      <w:sz w:val="28"/>
      <w:szCs w:val="20"/>
      <w:lang w:val="en-US"/>
    </w:rPr>
  </w:style>
  <w:style w:type="paragraph" w:customStyle="1" w:styleId="14-1">
    <w:name w:val="Текст14-1"/>
    <w:aliases w:val="Т-1,5,Текст 14-1,Стиль12-1,текст14"/>
    <w:basedOn w:val="a"/>
    <w:rsid w:val="00024DDF"/>
    <w:pPr>
      <w:spacing w:after="0" w:line="360" w:lineRule="auto"/>
      <w:ind w:firstLine="709"/>
      <w:jc w:val="both"/>
    </w:pPr>
    <w:rPr>
      <w:rFonts w:ascii="Times New Roman" w:hAnsi="Times New Roman" w:cs="Times New Roman"/>
      <w:sz w:val="28"/>
      <w:szCs w:val="28"/>
    </w:rPr>
  </w:style>
  <w:style w:type="paragraph" w:customStyle="1" w:styleId="21">
    <w:name w:val="Основной текст с отступом 21"/>
    <w:basedOn w:val="a"/>
    <w:rsid w:val="00024DDF"/>
    <w:pPr>
      <w:spacing w:after="0" w:line="100" w:lineRule="atLeast"/>
      <w:ind w:firstLine="1134"/>
      <w:jc w:val="center"/>
    </w:pPr>
    <w:rPr>
      <w:rFonts w:ascii="Times New Roman" w:hAnsi="Times New Roman" w:cs="Times New Roman"/>
      <w:kern w:val="1"/>
      <w:sz w:val="28"/>
      <w:szCs w:val="20"/>
      <w:lang w:val="en-US"/>
    </w:rPr>
  </w:style>
  <w:style w:type="paragraph" w:styleId="a9">
    <w:name w:val="footnote text"/>
    <w:basedOn w:val="a"/>
    <w:link w:val="aa"/>
    <w:semiHidden/>
    <w:unhideWhenUsed/>
    <w:rsid w:val="00A358F8"/>
    <w:rPr>
      <w:sz w:val="20"/>
      <w:szCs w:val="20"/>
    </w:rPr>
  </w:style>
  <w:style w:type="character" w:customStyle="1" w:styleId="aa">
    <w:name w:val="Текст сноски Знак"/>
    <w:link w:val="a9"/>
    <w:uiPriority w:val="99"/>
    <w:semiHidden/>
    <w:rsid w:val="00A358F8"/>
    <w:rPr>
      <w:rFonts w:eastAsia="Times New Roman" w:cs="Calibri"/>
      <w:lang w:eastAsia="zh-CN"/>
    </w:rPr>
  </w:style>
  <w:style w:type="character" w:styleId="ab">
    <w:name w:val="footnote reference"/>
    <w:semiHidden/>
    <w:unhideWhenUsed/>
    <w:rsid w:val="00A358F8"/>
    <w:rPr>
      <w:vertAlign w:val="superscript"/>
    </w:rPr>
  </w:style>
  <w:style w:type="character" w:customStyle="1" w:styleId="60">
    <w:name w:val="Заголовок 6 Знак"/>
    <w:link w:val="6"/>
    <w:uiPriority w:val="99"/>
    <w:rsid w:val="00707A39"/>
    <w:rPr>
      <w:rFonts w:ascii="Times New Roman" w:eastAsia="Arial Unicode MS" w:hAnsi="Times New Roman"/>
      <w:b/>
      <w:bCs/>
      <w:spacing w:val="20"/>
      <w:sz w:val="28"/>
      <w:szCs w:val="28"/>
    </w:rPr>
  </w:style>
  <w:style w:type="paragraph" w:styleId="2">
    <w:name w:val="Body Text Indent 2"/>
    <w:basedOn w:val="a"/>
    <w:link w:val="20"/>
    <w:unhideWhenUsed/>
    <w:rsid w:val="006B29E7"/>
    <w:pPr>
      <w:suppressAutoHyphens w:val="0"/>
      <w:spacing w:after="120" w:line="480" w:lineRule="auto"/>
      <w:ind w:left="283"/>
    </w:pPr>
    <w:rPr>
      <w:rFonts w:ascii="Times New Roman" w:eastAsia="Calibri" w:hAnsi="Times New Roman" w:cs="Times New Roman"/>
      <w:sz w:val="28"/>
      <w:szCs w:val="28"/>
      <w:lang w:eastAsia="en-US"/>
    </w:rPr>
  </w:style>
  <w:style w:type="character" w:customStyle="1" w:styleId="20">
    <w:name w:val="Основной текст с отступом 2 Знак"/>
    <w:link w:val="2"/>
    <w:rsid w:val="006B29E7"/>
    <w:rPr>
      <w:rFonts w:ascii="Times New Roman" w:hAnsi="Times New Roman"/>
      <w:sz w:val="28"/>
      <w:szCs w:val="28"/>
      <w:lang w:eastAsia="en-US"/>
    </w:rPr>
  </w:style>
  <w:style w:type="character" w:styleId="ac">
    <w:name w:val="page number"/>
    <w:rsid w:val="006B29E7"/>
    <w:rPr>
      <w:rFonts w:ascii="Times New Roman" w:hAnsi="Times New Roman"/>
      <w:sz w:val="22"/>
    </w:rPr>
  </w:style>
  <w:style w:type="paragraph" w:customStyle="1" w:styleId="14">
    <w:name w:val="Загл.14"/>
    <w:basedOn w:val="a"/>
    <w:rsid w:val="006B29E7"/>
    <w:pPr>
      <w:widowControl w:val="0"/>
      <w:suppressAutoHyphens w:val="0"/>
      <w:spacing w:after="0" w:line="240" w:lineRule="auto"/>
      <w:jc w:val="center"/>
    </w:pPr>
    <w:rPr>
      <w:rFonts w:ascii="Times New Roman" w:hAnsi="Times New Roman" w:cs="Times New Roman"/>
      <w:b/>
      <w:bCs/>
      <w:sz w:val="28"/>
      <w:szCs w:val="28"/>
      <w:lang w:eastAsia="ru-RU"/>
    </w:rPr>
  </w:style>
  <w:style w:type="character" w:customStyle="1" w:styleId="f">
    <w:name w:val="f"/>
    <w:basedOn w:val="a0"/>
    <w:rsid w:val="0084040B"/>
  </w:style>
  <w:style w:type="character" w:customStyle="1" w:styleId="10">
    <w:name w:val="Заголовок 1 Знак"/>
    <w:link w:val="1"/>
    <w:uiPriority w:val="9"/>
    <w:rsid w:val="00217FB8"/>
    <w:rPr>
      <w:rFonts w:ascii="Cambria" w:eastAsia="Times New Roman" w:hAnsi="Cambria" w:cs="Times New Roman"/>
      <w:b/>
      <w:bCs/>
      <w:kern w:val="32"/>
      <w:sz w:val="32"/>
      <w:szCs w:val="32"/>
      <w:lang w:eastAsia="zh-CN"/>
    </w:rPr>
  </w:style>
  <w:style w:type="paragraph" w:customStyle="1" w:styleId="14-15">
    <w:name w:val="14-15"/>
    <w:basedOn w:val="a"/>
    <w:rsid w:val="00032C90"/>
    <w:pPr>
      <w:suppressAutoHyphens w:val="0"/>
      <w:spacing w:after="0" w:line="360" w:lineRule="auto"/>
      <w:ind w:firstLine="709"/>
      <w:jc w:val="both"/>
    </w:pPr>
    <w:rPr>
      <w:rFonts w:ascii="Times New Roman" w:hAnsi="Times New Roman" w:cs="Times New Roman"/>
      <w:sz w:val="28"/>
      <w:szCs w:val="24"/>
      <w:lang w:eastAsia="ru-RU"/>
    </w:rPr>
  </w:style>
  <w:style w:type="paragraph" w:styleId="ad">
    <w:name w:val="List Paragraph"/>
    <w:basedOn w:val="a"/>
    <w:uiPriority w:val="34"/>
    <w:qFormat/>
    <w:rsid w:val="00087EBE"/>
    <w:pPr>
      <w:suppressAutoHyphens w:val="0"/>
      <w:spacing w:after="0" w:line="360" w:lineRule="auto"/>
      <w:ind w:left="720" w:firstLine="709"/>
      <w:contextualSpacing/>
      <w:jc w:val="both"/>
    </w:pPr>
    <w:rPr>
      <w:rFonts w:ascii="Times New Roman" w:eastAsia="Calibri" w:hAnsi="Times New Roman" w:cs="Times New Roman"/>
      <w:sz w:val="28"/>
      <w:szCs w:val="28"/>
      <w:lang w:eastAsia="en-US"/>
    </w:rPr>
  </w:style>
  <w:style w:type="paragraph" w:styleId="ae">
    <w:name w:val="Normal (Web)"/>
    <w:basedOn w:val="a"/>
    <w:uiPriority w:val="99"/>
    <w:rsid w:val="00087EBE"/>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30">
    <w:name w:val="Заголовок 3 Знак"/>
    <w:link w:val="3"/>
    <w:uiPriority w:val="9"/>
    <w:semiHidden/>
    <w:rsid w:val="005A775B"/>
    <w:rPr>
      <w:rFonts w:ascii="Cambria" w:eastAsia="Times New Roman" w:hAnsi="Cambria" w:cs="Times New Roman"/>
      <w:b/>
      <w:bCs/>
      <w:sz w:val="26"/>
      <w:szCs w:val="26"/>
      <w:lang w:eastAsia="zh-CN"/>
    </w:rPr>
  </w:style>
  <w:style w:type="paragraph" w:customStyle="1" w:styleId="Style10">
    <w:name w:val="Style10"/>
    <w:basedOn w:val="a"/>
    <w:rsid w:val="009562A9"/>
    <w:pPr>
      <w:widowControl w:val="0"/>
      <w:suppressAutoHyphens w:val="0"/>
      <w:autoSpaceDE w:val="0"/>
      <w:autoSpaceDN w:val="0"/>
      <w:adjustRightInd w:val="0"/>
      <w:spacing w:after="0" w:line="488" w:lineRule="exact"/>
      <w:ind w:firstLine="211"/>
      <w:jc w:val="both"/>
    </w:pPr>
    <w:rPr>
      <w:rFonts w:ascii="Times New Roman" w:hAnsi="Times New Roman" w:cs="Times New Roman"/>
      <w:sz w:val="24"/>
      <w:szCs w:val="24"/>
      <w:lang w:eastAsia="ru-RU"/>
    </w:rPr>
  </w:style>
  <w:style w:type="character" w:customStyle="1" w:styleId="FontStyle14">
    <w:name w:val="Font Style14"/>
    <w:rsid w:val="009562A9"/>
    <w:rPr>
      <w:rFonts w:ascii="Times New Roman" w:hAnsi="Times New Roman" w:cs="Times New Roman"/>
      <w:b/>
      <w:bCs/>
      <w:sz w:val="22"/>
      <w:szCs w:val="22"/>
    </w:rPr>
  </w:style>
  <w:style w:type="table" w:styleId="af">
    <w:name w:val="Table Grid"/>
    <w:basedOn w:val="a1"/>
    <w:uiPriority w:val="59"/>
    <w:rsid w:val="00A662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09974">
      <w:bodyDiv w:val="1"/>
      <w:marLeft w:val="0"/>
      <w:marRight w:val="0"/>
      <w:marTop w:val="0"/>
      <w:marBottom w:val="0"/>
      <w:divBdr>
        <w:top w:val="none" w:sz="0" w:space="0" w:color="auto"/>
        <w:left w:val="none" w:sz="0" w:space="0" w:color="auto"/>
        <w:bottom w:val="none" w:sz="0" w:space="0" w:color="auto"/>
        <w:right w:val="none" w:sz="0" w:space="0" w:color="auto"/>
      </w:divBdr>
    </w:div>
    <w:div w:id="148058705">
      <w:bodyDiv w:val="1"/>
      <w:marLeft w:val="0"/>
      <w:marRight w:val="0"/>
      <w:marTop w:val="0"/>
      <w:marBottom w:val="0"/>
      <w:divBdr>
        <w:top w:val="none" w:sz="0" w:space="0" w:color="auto"/>
        <w:left w:val="none" w:sz="0" w:space="0" w:color="auto"/>
        <w:bottom w:val="none" w:sz="0" w:space="0" w:color="auto"/>
        <w:right w:val="none" w:sz="0" w:space="0" w:color="auto"/>
      </w:divBdr>
    </w:div>
    <w:div w:id="233702578">
      <w:bodyDiv w:val="1"/>
      <w:marLeft w:val="0"/>
      <w:marRight w:val="0"/>
      <w:marTop w:val="0"/>
      <w:marBottom w:val="0"/>
      <w:divBdr>
        <w:top w:val="none" w:sz="0" w:space="0" w:color="auto"/>
        <w:left w:val="none" w:sz="0" w:space="0" w:color="auto"/>
        <w:bottom w:val="none" w:sz="0" w:space="0" w:color="auto"/>
        <w:right w:val="none" w:sz="0" w:space="0" w:color="auto"/>
      </w:divBdr>
    </w:div>
    <w:div w:id="271591434">
      <w:bodyDiv w:val="1"/>
      <w:marLeft w:val="0"/>
      <w:marRight w:val="0"/>
      <w:marTop w:val="0"/>
      <w:marBottom w:val="0"/>
      <w:divBdr>
        <w:top w:val="none" w:sz="0" w:space="0" w:color="auto"/>
        <w:left w:val="none" w:sz="0" w:space="0" w:color="auto"/>
        <w:bottom w:val="none" w:sz="0" w:space="0" w:color="auto"/>
        <w:right w:val="none" w:sz="0" w:space="0" w:color="auto"/>
      </w:divBdr>
    </w:div>
    <w:div w:id="274488195">
      <w:bodyDiv w:val="1"/>
      <w:marLeft w:val="0"/>
      <w:marRight w:val="0"/>
      <w:marTop w:val="0"/>
      <w:marBottom w:val="0"/>
      <w:divBdr>
        <w:top w:val="none" w:sz="0" w:space="0" w:color="auto"/>
        <w:left w:val="none" w:sz="0" w:space="0" w:color="auto"/>
        <w:bottom w:val="none" w:sz="0" w:space="0" w:color="auto"/>
        <w:right w:val="none" w:sz="0" w:space="0" w:color="auto"/>
      </w:divBdr>
    </w:div>
    <w:div w:id="335570727">
      <w:bodyDiv w:val="1"/>
      <w:marLeft w:val="0"/>
      <w:marRight w:val="0"/>
      <w:marTop w:val="0"/>
      <w:marBottom w:val="0"/>
      <w:divBdr>
        <w:top w:val="none" w:sz="0" w:space="0" w:color="auto"/>
        <w:left w:val="none" w:sz="0" w:space="0" w:color="auto"/>
        <w:bottom w:val="none" w:sz="0" w:space="0" w:color="auto"/>
        <w:right w:val="none" w:sz="0" w:space="0" w:color="auto"/>
      </w:divBdr>
    </w:div>
    <w:div w:id="480076017">
      <w:bodyDiv w:val="1"/>
      <w:marLeft w:val="0"/>
      <w:marRight w:val="0"/>
      <w:marTop w:val="0"/>
      <w:marBottom w:val="0"/>
      <w:divBdr>
        <w:top w:val="none" w:sz="0" w:space="0" w:color="auto"/>
        <w:left w:val="none" w:sz="0" w:space="0" w:color="auto"/>
        <w:bottom w:val="none" w:sz="0" w:space="0" w:color="auto"/>
        <w:right w:val="none" w:sz="0" w:space="0" w:color="auto"/>
      </w:divBdr>
    </w:div>
    <w:div w:id="658120863">
      <w:bodyDiv w:val="1"/>
      <w:marLeft w:val="0"/>
      <w:marRight w:val="0"/>
      <w:marTop w:val="0"/>
      <w:marBottom w:val="0"/>
      <w:divBdr>
        <w:top w:val="none" w:sz="0" w:space="0" w:color="auto"/>
        <w:left w:val="none" w:sz="0" w:space="0" w:color="auto"/>
        <w:bottom w:val="none" w:sz="0" w:space="0" w:color="auto"/>
        <w:right w:val="none" w:sz="0" w:space="0" w:color="auto"/>
      </w:divBdr>
    </w:div>
    <w:div w:id="961764097">
      <w:bodyDiv w:val="1"/>
      <w:marLeft w:val="0"/>
      <w:marRight w:val="0"/>
      <w:marTop w:val="0"/>
      <w:marBottom w:val="0"/>
      <w:divBdr>
        <w:top w:val="none" w:sz="0" w:space="0" w:color="auto"/>
        <w:left w:val="none" w:sz="0" w:space="0" w:color="auto"/>
        <w:bottom w:val="none" w:sz="0" w:space="0" w:color="auto"/>
        <w:right w:val="none" w:sz="0" w:space="0" w:color="auto"/>
      </w:divBdr>
    </w:div>
    <w:div w:id="1206718653">
      <w:bodyDiv w:val="1"/>
      <w:marLeft w:val="0"/>
      <w:marRight w:val="0"/>
      <w:marTop w:val="0"/>
      <w:marBottom w:val="0"/>
      <w:divBdr>
        <w:top w:val="none" w:sz="0" w:space="0" w:color="auto"/>
        <w:left w:val="none" w:sz="0" w:space="0" w:color="auto"/>
        <w:bottom w:val="none" w:sz="0" w:space="0" w:color="auto"/>
        <w:right w:val="none" w:sz="0" w:space="0" w:color="auto"/>
      </w:divBdr>
      <w:divsChild>
        <w:div w:id="607158207">
          <w:marLeft w:val="0"/>
          <w:marRight w:val="0"/>
          <w:marTop w:val="0"/>
          <w:marBottom w:val="0"/>
          <w:divBdr>
            <w:top w:val="none" w:sz="0" w:space="0" w:color="auto"/>
            <w:left w:val="none" w:sz="0" w:space="0" w:color="auto"/>
            <w:bottom w:val="none" w:sz="0" w:space="0" w:color="auto"/>
            <w:right w:val="none" w:sz="0" w:space="0" w:color="auto"/>
          </w:divBdr>
        </w:div>
        <w:div w:id="2052027554">
          <w:marLeft w:val="0"/>
          <w:marRight w:val="0"/>
          <w:marTop w:val="0"/>
          <w:marBottom w:val="0"/>
          <w:divBdr>
            <w:top w:val="none" w:sz="0" w:space="0" w:color="auto"/>
            <w:left w:val="none" w:sz="0" w:space="0" w:color="auto"/>
            <w:bottom w:val="none" w:sz="0" w:space="0" w:color="auto"/>
            <w:right w:val="none" w:sz="0" w:space="0" w:color="auto"/>
          </w:divBdr>
        </w:div>
        <w:div w:id="152140350">
          <w:marLeft w:val="0"/>
          <w:marRight w:val="0"/>
          <w:marTop w:val="0"/>
          <w:marBottom w:val="0"/>
          <w:divBdr>
            <w:top w:val="none" w:sz="0" w:space="0" w:color="auto"/>
            <w:left w:val="none" w:sz="0" w:space="0" w:color="auto"/>
            <w:bottom w:val="none" w:sz="0" w:space="0" w:color="auto"/>
            <w:right w:val="none" w:sz="0" w:space="0" w:color="auto"/>
          </w:divBdr>
        </w:div>
      </w:divsChild>
    </w:div>
    <w:div w:id="2107724941">
      <w:bodyDiv w:val="1"/>
      <w:marLeft w:val="0"/>
      <w:marRight w:val="0"/>
      <w:marTop w:val="0"/>
      <w:marBottom w:val="0"/>
      <w:divBdr>
        <w:top w:val="none" w:sz="0" w:space="0" w:color="auto"/>
        <w:left w:val="none" w:sz="0" w:space="0" w:color="auto"/>
        <w:bottom w:val="none" w:sz="0" w:space="0" w:color="auto"/>
        <w:right w:val="none" w:sz="0" w:space="0" w:color="auto"/>
      </w:divBdr>
      <w:divsChild>
        <w:div w:id="1087312664">
          <w:marLeft w:val="0"/>
          <w:marRight w:val="0"/>
          <w:marTop w:val="0"/>
          <w:marBottom w:val="0"/>
          <w:divBdr>
            <w:top w:val="none" w:sz="0" w:space="0" w:color="auto"/>
            <w:left w:val="none" w:sz="0" w:space="0" w:color="auto"/>
            <w:bottom w:val="none" w:sz="0" w:space="0" w:color="auto"/>
            <w:right w:val="none" w:sz="0" w:space="0" w:color="auto"/>
          </w:divBdr>
        </w:div>
        <w:div w:id="35862248">
          <w:marLeft w:val="0"/>
          <w:marRight w:val="0"/>
          <w:marTop w:val="0"/>
          <w:marBottom w:val="0"/>
          <w:divBdr>
            <w:top w:val="none" w:sz="0" w:space="0" w:color="auto"/>
            <w:left w:val="none" w:sz="0" w:space="0" w:color="auto"/>
            <w:bottom w:val="none" w:sz="0" w:space="0" w:color="auto"/>
            <w:right w:val="none" w:sz="0" w:space="0" w:color="auto"/>
          </w:divBdr>
        </w:div>
        <w:div w:id="1802377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9FF91-2722-40D8-B049-B01F0D1F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10296</TotalTime>
  <Pages>8</Pages>
  <Words>2551</Words>
  <Characters>14547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17064</CharactersWithSpaces>
  <SharedDoc>false</SharedDoc>
  <HLinks>
    <vt:vector size="12" baseType="variant">
      <vt:variant>
        <vt:i4>5177349</vt:i4>
      </vt:variant>
      <vt:variant>
        <vt:i4>3</vt:i4>
      </vt:variant>
      <vt:variant>
        <vt:i4>0</vt:i4>
      </vt:variant>
      <vt:variant>
        <vt:i4>5</vt:i4>
      </vt:variant>
      <vt:variant>
        <vt:lpwstr>consultantplus://offline/ref=0A3A18C185CA189AC29008C6EAAFE20C4A20226E7B638EA08FD8C9BC69nFcCM</vt:lpwstr>
      </vt:variant>
      <vt:variant>
        <vt:lpwstr/>
      </vt:variant>
      <vt:variant>
        <vt:i4>2097215</vt:i4>
      </vt:variant>
      <vt:variant>
        <vt:i4>0</vt:i4>
      </vt:variant>
      <vt:variant>
        <vt:i4>0</vt:i4>
      </vt:variant>
      <vt:variant>
        <vt:i4>5</vt:i4>
      </vt:variant>
      <vt:variant>
        <vt:lpwstr>consultantplus://offline/ref=F4FF2BBC7E3A2EE4AFCA0A4E0D2BE10986CA1F608531E72E2750B58F730FB8EE632BF030E9C0FB3DeFaFM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Luzenko</dc:creator>
  <cp:lastModifiedBy>Стоянова</cp:lastModifiedBy>
  <cp:revision>43</cp:revision>
  <cp:lastPrinted>2018-05-18T09:53:00Z</cp:lastPrinted>
  <dcterms:created xsi:type="dcterms:W3CDTF">2022-06-21T08:09:00Z</dcterms:created>
  <dcterms:modified xsi:type="dcterms:W3CDTF">2026-07-02T11:29:00Z</dcterms:modified>
</cp:coreProperties>
</file>